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B94" w:rsidRDefault="00306B94" w:rsidP="00306B94">
      <w:pPr>
        <w:jc w:val="center"/>
        <w:rPr>
          <w:b/>
          <w:sz w:val="48"/>
          <w:szCs w:val="48"/>
        </w:rPr>
      </w:pPr>
    </w:p>
    <w:p w:rsidR="00306B94" w:rsidRPr="009526AB" w:rsidRDefault="00306B94" w:rsidP="00306B94">
      <w:pPr>
        <w:jc w:val="center"/>
        <w:rPr>
          <w:b/>
          <w:sz w:val="48"/>
          <w:szCs w:val="48"/>
        </w:rPr>
      </w:pPr>
      <w:r>
        <w:rPr>
          <w:b/>
          <w:sz w:val="48"/>
          <w:szCs w:val="48"/>
        </w:rPr>
        <w:t>For e</w:t>
      </w:r>
      <w:r w:rsidRPr="009526AB">
        <w:rPr>
          <w:b/>
          <w:sz w:val="48"/>
          <w:szCs w:val="48"/>
        </w:rPr>
        <w:t xml:space="preserve">t bedre Danmark </w:t>
      </w:r>
    </w:p>
    <w:p w:rsidR="00306B94" w:rsidRDefault="00306B94" w:rsidP="00306B94">
      <w:pPr>
        <w:rPr>
          <w:sz w:val="26"/>
          <w:szCs w:val="26"/>
        </w:rPr>
      </w:pPr>
    </w:p>
    <w:p w:rsidR="00306B94" w:rsidRDefault="00306B94" w:rsidP="00306B94">
      <w:pPr>
        <w:rPr>
          <w:sz w:val="26"/>
          <w:szCs w:val="26"/>
        </w:rPr>
      </w:pPr>
      <w:r>
        <w:rPr>
          <w:sz w:val="26"/>
          <w:szCs w:val="26"/>
        </w:rPr>
        <w:t xml:space="preserve">Verden - og Danmark – har store udfordringer. Men også gode muligheder for at </w:t>
      </w:r>
      <w:proofErr w:type="gramStart"/>
      <w:r>
        <w:rPr>
          <w:sz w:val="26"/>
          <w:szCs w:val="26"/>
        </w:rPr>
        <w:t>løse</w:t>
      </w:r>
      <w:proofErr w:type="gramEnd"/>
      <w:r>
        <w:rPr>
          <w:sz w:val="26"/>
          <w:szCs w:val="26"/>
        </w:rPr>
        <w:t xml:space="preserve"> dem. En miljøkrise, en økonomisk krise, en social krise med voksende ulighed, og en politisk krise. </w:t>
      </w:r>
    </w:p>
    <w:p w:rsidR="00306B94" w:rsidRDefault="00306B94" w:rsidP="00306B94">
      <w:pPr>
        <w:rPr>
          <w:sz w:val="26"/>
          <w:szCs w:val="26"/>
        </w:rPr>
      </w:pPr>
    </w:p>
    <w:p w:rsidR="00306B94" w:rsidRDefault="00306B94" w:rsidP="00306B94">
      <w:pPr>
        <w:rPr>
          <w:sz w:val="26"/>
          <w:szCs w:val="26"/>
        </w:rPr>
      </w:pPr>
      <w:r>
        <w:rPr>
          <w:sz w:val="26"/>
          <w:szCs w:val="26"/>
        </w:rPr>
        <w:t>Derfor vil vi gerne invitere fagbevægelsen, andre progressive bevægelser, socialdemokrater, SF’ere og folk fra Enhedslisten til samme med alle andre interesserede at drøfte og videreudvikle et oplæg for en progressiv samfundsudvikling.</w:t>
      </w:r>
    </w:p>
    <w:p w:rsidR="00306B94" w:rsidRDefault="00306B94" w:rsidP="00306B94">
      <w:pPr>
        <w:rPr>
          <w:sz w:val="26"/>
          <w:szCs w:val="26"/>
        </w:rPr>
      </w:pPr>
    </w:p>
    <w:p w:rsidR="00306B94" w:rsidRDefault="00306B94" w:rsidP="00306B94">
      <w:pPr>
        <w:rPr>
          <w:b/>
          <w:sz w:val="26"/>
          <w:szCs w:val="26"/>
        </w:rPr>
      </w:pPr>
      <w:r>
        <w:rPr>
          <w:b/>
          <w:sz w:val="26"/>
          <w:szCs w:val="26"/>
        </w:rPr>
        <w:t>Kriserne skal løses i sammenhæng</w:t>
      </w:r>
    </w:p>
    <w:p w:rsidR="00306B94" w:rsidRDefault="00306B94" w:rsidP="00306B94">
      <w:pPr>
        <w:rPr>
          <w:sz w:val="26"/>
          <w:szCs w:val="26"/>
        </w:rPr>
      </w:pPr>
      <w:r>
        <w:rPr>
          <w:sz w:val="26"/>
          <w:szCs w:val="26"/>
        </w:rPr>
        <w:t xml:space="preserve">Klimakrisen, den økonomiske krise og den sociale krise må løses i sammenhæng. En omstilling til en bæredygtig udvikling involverer investeringer, innovation og mange arbejdspladser i vedvarende energi, i energibesparelser, i økologisk produktion, i miljøforbedringer, i bæredygtig infrastruktur, i klimatilpasning, og i genbrug. </w:t>
      </w:r>
    </w:p>
    <w:p w:rsidR="00306B94" w:rsidRDefault="00306B94" w:rsidP="00306B94">
      <w:pPr>
        <w:rPr>
          <w:color w:val="000000"/>
          <w:sz w:val="26"/>
          <w:szCs w:val="26"/>
          <w:lang w:eastAsia="da-DK"/>
        </w:rPr>
      </w:pPr>
      <w:r>
        <w:rPr>
          <w:color w:val="000000"/>
          <w:sz w:val="26"/>
          <w:szCs w:val="26"/>
          <w:lang w:eastAsia="da-DK"/>
        </w:rPr>
        <w:t xml:space="preserve">Danmark er en lille manøvredygtig stat, og derfor har vi et stort ansvar for at gå forrest i udviklingen af den grønne bæredygtige vækst, så verden kan se, det kan lade sig gøre, at skabe tusindvis af arbejdspladser ny innovation, </w:t>
      </w:r>
      <w:proofErr w:type="spellStart"/>
      <w:r>
        <w:rPr>
          <w:color w:val="000000"/>
          <w:sz w:val="26"/>
          <w:szCs w:val="26"/>
          <w:lang w:eastAsia="da-DK"/>
        </w:rPr>
        <w:t>fossilfri</w:t>
      </w:r>
      <w:proofErr w:type="spellEnd"/>
      <w:r>
        <w:rPr>
          <w:color w:val="000000"/>
          <w:sz w:val="26"/>
          <w:szCs w:val="26"/>
          <w:lang w:eastAsia="da-DK"/>
        </w:rPr>
        <w:t xml:space="preserve"> decentral energi og eksportmuligheder. Danmark kunne meget hurtigt blive et grønt mønsterland i tråd med den "Nordiske velfærdsmodel".</w:t>
      </w:r>
    </w:p>
    <w:p w:rsidR="00306B94" w:rsidRDefault="00306B94" w:rsidP="00306B94">
      <w:pPr>
        <w:rPr>
          <w:sz w:val="26"/>
          <w:szCs w:val="26"/>
        </w:rPr>
      </w:pPr>
    </w:p>
    <w:p w:rsidR="00306B94" w:rsidRDefault="00306B94" w:rsidP="00306B94">
      <w:pPr>
        <w:rPr>
          <w:sz w:val="26"/>
          <w:szCs w:val="26"/>
        </w:rPr>
      </w:pPr>
      <w:r>
        <w:rPr>
          <w:sz w:val="26"/>
          <w:szCs w:val="26"/>
        </w:rPr>
        <w:t>Den nordiske velfærdsmodel har skabt nogle af verdens bedst fungerende samfund, hvor velfærden er et integreret vilkår for en dynamisk erhvervsudvikling med god fysisk, uddannelsesmæssig og social infrastruktur. Velfærden skal udbygges og ikke afvikles.</w:t>
      </w:r>
    </w:p>
    <w:p w:rsidR="00306B94" w:rsidRDefault="00306B94" w:rsidP="00306B94">
      <w:pPr>
        <w:rPr>
          <w:sz w:val="26"/>
          <w:szCs w:val="26"/>
        </w:rPr>
      </w:pPr>
    </w:p>
    <w:p w:rsidR="00306B94" w:rsidRDefault="00306B94" w:rsidP="00306B94">
      <w:pPr>
        <w:rPr>
          <w:sz w:val="26"/>
          <w:szCs w:val="26"/>
        </w:rPr>
      </w:pPr>
      <w:r>
        <w:rPr>
          <w:sz w:val="26"/>
          <w:szCs w:val="26"/>
        </w:rPr>
        <w:t xml:space="preserve">Ifølge menneskerettighederne er alle mennesker født lige og frie. Men denne grundlæggende lighed skændes af de store økonomiske og sociale forskelle, der er borgerne imellem. Hertil kommer, at de økonomiske og sociale forskelle også viser sig ved meget store forskelle i magt og indflydelse. </w:t>
      </w:r>
    </w:p>
    <w:p w:rsidR="00306B94" w:rsidRDefault="00306B94" w:rsidP="00306B94">
      <w:pPr>
        <w:rPr>
          <w:sz w:val="26"/>
          <w:szCs w:val="26"/>
        </w:rPr>
      </w:pPr>
      <w:r>
        <w:rPr>
          <w:sz w:val="26"/>
          <w:szCs w:val="26"/>
        </w:rPr>
        <w:t xml:space="preserve">I respekt for menneskerettighederne skal vi derfor udbygge demokratiet, så alle har lige indflydelse på samfundets udvikling. </w:t>
      </w:r>
    </w:p>
    <w:p w:rsidR="00306B94" w:rsidRDefault="00306B94" w:rsidP="00306B94">
      <w:pPr>
        <w:rPr>
          <w:sz w:val="26"/>
          <w:szCs w:val="26"/>
        </w:rPr>
      </w:pPr>
      <w:r>
        <w:rPr>
          <w:sz w:val="26"/>
          <w:szCs w:val="26"/>
        </w:rPr>
        <w:t xml:space="preserve">På virksomhederne har arbejdsgiverne eneret til at lede og fordele de ansattes arbejde. Denne umyndiggørelse skal erstattes af demokrati på arbejdspladsen, der også vil stimulere de ansattes kreativitet og innovation. </w:t>
      </w:r>
    </w:p>
    <w:p w:rsidR="00306B94" w:rsidRDefault="00306B94" w:rsidP="00306B94">
      <w:pPr>
        <w:rPr>
          <w:sz w:val="26"/>
          <w:szCs w:val="26"/>
        </w:rPr>
      </w:pPr>
      <w:r>
        <w:rPr>
          <w:sz w:val="26"/>
          <w:szCs w:val="26"/>
        </w:rPr>
        <w:t xml:space="preserve">Hvis ejerne vil flytte produktionen til udlandet, skal de ansatte som led i demokratiet have mulighed for at overtage den pågældende virksomhed, evt. i samarbejde med ATP eller Lønmodtagernes Dyrtidsfond.   </w:t>
      </w:r>
    </w:p>
    <w:p w:rsidR="00306B94" w:rsidRPr="009526AB" w:rsidRDefault="00306B94" w:rsidP="00306B94">
      <w:pPr>
        <w:jc w:val="right"/>
        <w:rPr>
          <w:iCs/>
        </w:rPr>
      </w:pPr>
    </w:p>
    <w:p w:rsidR="00306B94" w:rsidRDefault="00306B94" w:rsidP="00306B94">
      <w:pPr>
        <w:rPr>
          <w:b/>
          <w:bCs/>
          <w:sz w:val="32"/>
          <w:szCs w:val="32"/>
        </w:rPr>
      </w:pPr>
    </w:p>
    <w:p w:rsidR="00306B94" w:rsidRPr="007E7B4F" w:rsidRDefault="00306B94" w:rsidP="00306B94">
      <w:pPr>
        <w:rPr>
          <w:b/>
          <w:bCs/>
          <w:sz w:val="48"/>
          <w:szCs w:val="48"/>
        </w:rPr>
      </w:pPr>
      <w:r>
        <w:rPr>
          <w:b/>
          <w:bCs/>
          <w:sz w:val="48"/>
          <w:szCs w:val="48"/>
        </w:rPr>
        <w:t>E</w:t>
      </w:r>
      <w:r w:rsidRPr="007E7B4F">
        <w:rPr>
          <w:b/>
          <w:bCs/>
          <w:sz w:val="48"/>
          <w:szCs w:val="48"/>
        </w:rPr>
        <w:t>t bedre Danmark</w:t>
      </w:r>
    </w:p>
    <w:p w:rsidR="00306B94" w:rsidRPr="00803BBF" w:rsidRDefault="00306B94" w:rsidP="00306B94">
      <w:pPr>
        <w:rPr>
          <w:b/>
          <w:bCs/>
          <w:i/>
          <w:sz w:val="32"/>
          <w:szCs w:val="32"/>
        </w:rPr>
      </w:pPr>
    </w:p>
    <w:p w:rsidR="00306B94" w:rsidRPr="00803BBF" w:rsidRDefault="00306B94" w:rsidP="00306B94">
      <w:pPr>
        <w:rPr>
          <w:i/>
          <w:sz w:val="26"/>
          <w:szCs w:val="26"/>
        </w:rPr>
      </w:pPr>
      <w:r w:rsidRPr="00803BBF">
        <w:rPr>
          <w:i/>
          <w:sz w:val="26"/>
          <w:szCs w:val="26"/>
        </w:rPr>
        <w:t>Mere solidaritet, mindre individualisme</w:t>
      </w:r>
    </w:p>
    <w:p w:rsidR="00306B94" w:rsidRPr="00803BBF" w:rsidRDefault="00306B94" w:rsidP="00306B94">
      <w:pPr>
        <w:rPr>
          <w:i/>
          <w:sz w:val="26"/>
          <w:szCs w:val="26"/>
        </w:rPr>
      </w:pPr>
      <w:r w:rsidRPr="00803BBF">
        <w:rPr>
          <w:i/>
          <w:sz w:val="26"/>
          <w:szCs w:val="26"/>
        </w:rPr>
        <w:lastRenderedPageBreak/>
        <w:t>Mere demokrati, mindre konkurrence, mindre kapløb mod bunden</w:t>
      </w:r>
    </w:p>
    <w:p w:rsidR="00306B94" w:rsidRPr="00803BBF" w:rsidRDefault="00306B94" w:rsidP="00306B94">
      <w:pPr>
        <w:rPr>
          <w:i/>
          <w:sz w:val="26"/>
          <w:szCs w:val="26"/>
        </w:rPr>
      </w:pPr>
      <w:r w:rsidRPr="00803BBF">
        <w:rPr>
          <w:i/>
          <w:sz w:val="26"/>
          <w:szCs w:val="26"/>
        </w:rPr>
        <w:t>Mere bæredygtighed og miljøhensyn i produktionen, mindre afhængighed af fossile brændsler, af kemikalier og medicin</w:t>
      </w:r>
    </w:p>
    <w:p w:rsidR="00306B94" w:rsidRDefault="00306B94" w:rsidP="00306B94">
      <w:pPr>
        <w:rPr>
          <w:sz w:val="28"/>
          <w:szCs w:val="28"/>
        </w:rPr>
      </w:pPr>
    </w:p>
    <w:p w:rsidR="00306B94" w:rsidRPr="00B071A8" w:rsidRDefault="00306B94" w:rsidP="00306B94">
      <w:pPr>
        <w:rPr>
          <w:sz w:val="26"/>
          <w:szCs w:val="26"/>
        </w:rPr>
      </w:pPr>
      <w:r>
        <w:rPr>
          <w:sz w:val="26"/>
          <w:szCs w:val="26"/>
        </w:rPr>
        <w:t>Et bedre samfund består af en</w:t>
      </w:r>
      <w:r w:rsidRPr="00B071A8">
        <w:rPr>
          <w:sz w:val="26"/>
          <w:szCs w:val="26"/>
        </w:rPr>
        <w:t xml:space="preserve"> tryggere </w:t>
      </w:r>
      <w:r>
        <w:rPr>
          <w:sz w:val="26"/>
          <w:szCs w:val="26"/>
        </w:rPr>
        <w:t>hverdag</w:t>
      </w:r>
      <w:r w:rsidRPr="00B071A8">
        <w:rPr>
          <w:sz w:val="26"/>
          <w:szCs w:val="26"/>
        </w:rPr>
        <w:t>, som b</w:t>
      </w:r>
      <w:r>
        <w:rPr>
          <w:sz w:val="26"/>
          <w:szCs w:val="26"/>
        </w:rPr>
        <w:t>ygger på princippet om solidaritet,</w:t>
      </w:r>
      <w:r w:rsidRPr="00B071A8">
        <w:rPr>
          <w:sz w:val="26"/>
          <w:szCs w:val="26"/>
        </w:rPr>
        <w:t xml:space="preserve"> </w:t>
      </w:r>
      <w:r>
        <w:rPr>
          <w:sz w:val="26"/>
          <w:szCs w:val="26"/>
        </w:rPr>
        <w:t>arbejde til alle, bæredygtig</w:t>
      </w:r>
      <w:r w:rsidRPr="00B071A8">
        <w:rPr>
          <w:sz w:val="26"/>
          <w:szCs w:val="26"/>
        </w:rPr>
        <w:t xml:space="preserve"> </w:t>
      </w:r>
      <w:r>
        <w:rPr>
          <w:sz w:val="26"/>
          <w:szCs w:val="26"/>
        </w:rPr>
        <w:t>udvikling og udbredt demokrati.</w:t>
      </w:r>
    </w:p>
    <w:p w:rsidR="00306B94" w:rsidRDefault="00306B94" w:rsidP="00306B94">
      <w:pPr>
        <w:rPr>
          <w:sz w:val="26"/>
          <w:szCs w:val="26"/>
        </w:rPr>
      </w:pPr>
    </w:p>
    <w:p w:rsidR="00306B94" w:rsidRPr="00B071A8" w:rsidRDefault="00306B94" w:rsidP="00306B94">
      <w:pPr>
        <w:rPr>
          <w:sz w:val="26"/>
          <w:szCs w:val="26"/>
        </w:rPr>
      </w:pPr>
      <w:r w:rsidRPr="00B071A8">
        <w:rPr>
          <w:sz w:val="26"/>
          <w:szCs w:val="26"/>
        </w:rPr>
        <w:t>Derfor gælder det om at anvise veje og midler</w:t>
      </w:r>
      <w:r>
        <w:rPr>
          <w:sz w:val="26"/>
          <w:szCs w:val="26"/>
        </w:rPr>
        <w:t>,</w:t>
      </w:r>
      <w:r w:rsidRPr="00B071A8">
        <w:rPr>
          <w:sz w:val="26"/>
          <w:szCs w:val="26"/>
        </w:rPr>
        <w:t xml:space="preserve"> som kan fremme lighed</w:t>
      </w:r>
      <w:r>
        <w:rPr>
          <w:sz w:val="26"/>
          <w:szCs w:val="26"/>
        </w:rPr>
        <w:t>, beskæftigelse</w:t>
      </w:r>
      <w:r w:rsidRPr="00B071A8">
        <w:rPr>
          <w:sz w:val="26"/>
          <w:szCs w:val="26"/>
        </w:rPr>
        <w:t xml:space="preserve"> og grøn omstilling. Midlerne er ikke nye eller uprøvede. Vi skal i høj grad fastholde og udbygge den danske velfærdsmodel, som vi kendte den frem til 2001, men som er under</w:t>
      </w:r>
      <w:r>
        <w:rPr>
          <w:sz w:val="26"/>
          <w:szCs w:val="26"/>
        </w:rPr>
        <w:t xml:space="preserve"> stigende</w:t>
      </w:r>
      <w:r w:rsidRPr="00B071A8">
        <w:rPr>
          <w:sz w:val="26"/>
          <w:szCs w:val="26"/>
        </w:rPr>
        <w:t xml:space="preserve"> pres pga</w:t>
      </w:r>
      <w:r>
        <w:rPr>
          <w:sz w:val="26"/>
          <w:szCs w:val="26"/>
        </w:rPr>
        <w:t>.</w:t>
      </w:r>
      <w:r w:rsidRPr="00B071A8">
        <w:rPr>
          <w:sz w:val="26"/>
          <w:szCs w:val="26"/>
        </w:rPr>
        <w:t xml:space="preserve"> af deregulering og </w:t>
      </w:r>
      <w:r>
        <w:rPr>
          <w:sz w:val="26"/>
          <w:szCs w:val="26"/>
        </w:rPr>
        <w:t xml:space="preserve">øget </w:t>
      </w:r>
      <w:r w:rsidRPr="00B071A8">
        <w:rPr>
          <w:sz w:val="26"/>
          <w:szCs w:val="26"/>
        </w:rPr>
        <w:t xml:space="preserve">globalisering. </w:t>
      </w:r>
    </w:p>
    <w:p w:rsidR="00306B94" w:rsidRDefault="00306B94" w:rsidP="00306B94">
      <w:pPr>
        <w:rPr>
          <w:b/>
          <w:bCs/>
          <w:sz w:val="28"/>
          <w:szCs w:val="28"/>
        </w:rPr>
      </w:pPr>
    </w:p>
    <w:p w:rsidR="00306B94" w:rsidRDefault="00306B94" w:rsidP="00306B94">
      <w:pPr>
        <w:rPr>
          <w:b/>
          <w:bCs/>
          <w:sz w:val="28"/>
          <w:szCs w:val="28"/>
        </w:rPr>
      </w:pPr>
    </w:p>
    <w:p w:rsidR="00306B94" w:rsidRDefault="00306B94" w:rsidP="00306B94">
      <w:pPr>
        <w:rPr>
          <w:b/>
          <w:bCs/>
          <w:sz w:val="28"/>
          <w:szCs w:val="28"/>
        </w:rPr>
      </w:pPr>
      <w:r>
        <w:rPr>
          <w:b/>
          <w:bCs/>
          <w:sz w:val="28"/>
          <w:szCs w:val="28"/>
        </w:rPr>
        <w:t>Øget beskæftigelse og bæredygtig produktion</w:t>
      </w:r>
    </w:p>
    <w:p w:rsidR="00306B94" w:rsidRDefault="00306B94" w:rsidP="00306B94">
      <w:pPr>
        <w:rPr>
          <w:sz w:val="26"/>
          <w:szCs w:val="26"/>
        </w:rPr>
      </w:pPr>
      <w:r>
        <w:rPr>
          <w:sz w:val="26"/>
          <w:szCs w:val="26"/>
        </w:rPr>
        <w:br/>
        <w:t xml:space="preserve">Arbejdsløsheden er alt for høj, navnlig blandt unge, ufaglærte og specialarbejdere. Det er ikke kun et dansk fænomen. Tværtimod er arbejdsløsheden i Europa set under ét på det højeste niveau siden 2. Verdenskrig. Denne historiske mangel på jobs skal endda ses i lyset af, at den samlede produktion i Europa målt ved bruttonationalproduktet aldrig har været større end i dag. </w:t>
      </w:r>
    </w:p>
    <w:p w:rsidR="00306B94" w:rsidRDefault="00306B94" w:rsidP="00306B94">
      <w:pPr>
        <w:rPr>
          <w:sz w:val="26"/>
          <w:szCs w:val="26"/>
        </w:rPr>
      </w:pPr>
    </w:p>
    <w:p w:rsidR="00306B94" w:rsidRDefault="00306B94" w:rsidP="00306B94">
      <w:pPr>
        <w:rPr>
          <w:sz w:val="26"/>
          <w:szCs w:val="26"/>
        </w:rPr>
      </w:pPr>
      <w:r>
        <w:rPr>
          <w:sz w:val="26"/>
          <w:szCs w:val="26"/>
        </w:rPr>
        <w:t>Dette paradoks har været ignoreret længe nok. Det er en illusion at foregøgle befolkningen, at bare der atter kommer gang i væksten i BNP, så vil arbejdsløsheden forsvinde. Tværtimod har udviklingen igennem de seneste 30-40 år båret vidnesbyrd om, at perioder med BNP-vækst, der har gjort et vist indhug i arbejdsløshedskøerne, systematisk er blevet afløst af perioder med stigende arbejdsløshed, som hver gang har gjort køen endnu længere.</w:t>
      </w:r>
    </w:p>
    <w:p w:rsidR="00306B94" w:rsidRDefault="00306B94" w:rsidP="00306B94">
      <w:pPr>
        <w:rPr>
          <w:sz w:val="26"/>
          <w:szCs w:val="26"/>
        </w:rPr>
      </w:pPr>
    </w:p>
    <w:p w:rsidR="00306B94" w:rsidRDefault="00306B94" w:rsidP="00306B94">
      <w:pPr>
        <w:rPr>
          <w:sz w:val="26"/>
          <w:szCs w:val="26"/>
        </w:rPr>
      </w:pPr>
      <w:r>
        <w:rPr>
          <w:sz w:val="26"/>
          <w:szCs w:val="26"/>
        </w:rPr>
        <w:t>Der er brug for en bæredygtig udvikling i produktionen, hvor der skabes varige arbejdspladser, der matcher befolkningernes uddannelses- og aldersmæssige sammensætning sammenholdt med den politisk ønskede udvikling i produktionens sammensætning på velfærdsgoder og investering i bæredygtig økonomi. Det kan en markedsdrevet økonomisk vækst ikke skabe – tværtimod er den markedsmæssige dominans en af årsagerne til den rekordhøje arbejdsløshed.</w:t>
      </w:r>
    </w:p>
    <w:p w:rsidR="00306B94" w:rsidRDefault="00306B94" w:rsidP="00306B94">
      <w:pPr>
        <w:rPr>
          <w:sz w:val="26"/>
          <w:szCs w:val="26"/>
        </w:rPr>
      </w:pPr>
    </w:p>
    <w:p w:rsidR="00306B94" w:rsidRDefault="00306B94" w:rsidP="00306B94">
      <w:pPr>
        <w:rPr>
          <w:sz w:val="26"/>
          <w:szCs w:val="26"/>
        </w:rPr>
      </w:pPr>
      <w:r>
        <w:rPr>
          <w:sz w:val="26"/>
          <w:szCs w:val="26"/>
        </w:rPr>
        <w:t>Fokus i beskæftigelsespolitikken bør være at sikre varige job navnlig for ufaglærte og specialarbejdere i velfærdssektoren og miljøsektoren. Det er den gruppe, der er hårdest ramt af arbejdsløshed. Samtidigt er der i dagens Danmark stor mangel på netop miljø- og velfærdsydelser, sundhed, pleje og erhvervsrettet undervisning. Disse opgaver er helt overvejende af kommunal karakter. Det kommunale udgiftsloft bør derfor - i respekt for det kommunale selvstyre – opblødes. Så længe den grundlæggende balance mellem indtægter og udgifter på de kommunale budgetter er overholdt, bør de enkelte kommuner selv forvalte investeringsniveauet og omfanget af velfærdsydelser. Dette ville sikre en bedre overens</w:t>
      </w:r>
      <w:r>
        <w:rPr>
          <w:sz w:val="26"/>
          <w:szCs w:val="26"/>
        </w:rPr>
        <w:softHyphen/>
        <w:t xml:space="preserve">stemmelse mellem vælgernes ønsker om skattefinansieret velfærd og kommunernes mulighed for at levere disse ydelser. Også mulighederne for at slække på kommunalfuldmagtens snærende bånd bør genvurderes. </w:t>
      </w:r>
    </w:p>
    <w:p w:rsidR="00306B94" w:rsidRDefault="00306B94" w:rsidP="00306B94">
      <w:pPr>
        <w:rPr>
          <w:sz w:val="26"/>
          <w:szCs w:val="26"/>
        </w:rPr>
      </w:pPr>
    </w:p>
    <w:p w:rsidR="00306B94" w:rsidRDefault="00306B94" w:rsidP="00306B94">
      <w:pPr>
        <w:rPr>
          <w:sz w:val="26"/>
          <w:szCs w:val="26"/>
        </w:rPr>
      </w:pPr>
      <w:r>
        <w:rPr>
          <w:sz w:val="26"/>
          <w:szCs w:val="26"/>
        </w:rPr>
        <w:lastRenderedPageBreak/>
        <w:t>På den måde kunne kommunernes planlægning gøres mere langsigtet, samtidig med at det sikres, at jobbene er overenskomstdækkede og suppleret med praktikpladser. Hertil kommer, at kommunerne kan have en længere planlægningshorisont, og derved sikre en målrettet beskæftigelses</w:t>
      </w:r>
      <w:r>
        <w:rPr>
          <w:sz w:val="26"/>
          <w:szCs w:val="26"/>
        </w:rPr>
        <w:softHyphen/>
        <w:t xml:space="preserve">politik med stabile arbejdspladser, i højere grad end de ofte </w:t>
      </w:r>
      <w:proofErr w:type="spellStart"/>
      <w:r>
        <w:rPr>
          <w:sz w:val="26"/>
          <w:szCs w:val="26"/>
        </w:rPr>
        <w:t>hovsa-prægede</w:t>
      </w:r>
      <w:proofErr w:type="spellEnd"/>
      <w:r>
        <w:rPr>
          <w:sz w:val="26"/>
          <w:szCs w:val="26"/>
        </w:rPr>
        <w:t xml:space="preserve"> statslige ’vækstpakker’ til mange milliarder kroner, som overvejende kommer det private erhvervsliv og dermed også udenlandsk arbejdskraft til gode.</w:t>
      </w:r>
    </w:p>
    <w:p w:rsidR="00306B94" w:rsidRDefault="00306B94" w:rsidP="00306B94">
      <w:pPr>
        <w:rPr>
          <w:sz w:val="26"/>
          <w:szCs w:val="26"/>
        </w:rPr>
      </w:pPr>
    </w:p>
    <w:p w:rsidR="00306B94" w:rsidRDefault="00306B94" w:rsidP="00306B94">
      <w:pPr>
        <w:rPr>
          <w:b/>
          <w:bCs/>
          <w:sz w:val="28"/>
          <w:szCs w:val="28"/>
        </w:rPr>
      </w:pPr>
    </w:p>
    <w:p w:rsidR="00306B94" w:rsidRDefault="00306B94" w:rsidP="00306B94">
      <w:pPr>
        <w:rPr>
          <w:b/>
          <w:bCs/>
          <w:sz w:val="28"/>
          <w:szCs w:val="28"/>
        </w:rPr>
      </w:pPr>
      <w:r>
        <w:rPr>
          <w:b/>
          <w:bCs/>
          <w:sz w:val="28"/>
          <w:szCs w:val="28"/>
        </w:rPr>
        <w:t>Bedre beskæftigelse og mindre ulighed skaber øget tryghed</w:t>
      </w:r>
    </w:p>
    <w:p w:rsidR="00306B94" w:rsidRDefault="00306B94" w:rsidP="00306B94">
      <w:pPr>
        <w:rPr>
          <w:b/>
          <w:bCs/>
          <w:sz w:val="28"/>
          <w:szCs w:val="28"/>
        </w:rPr>
      </w:pPr>
    </w:p>
    <w:p w:rsidR="00306B94" w:rsidRPr="00803BBF" w:rsidRDefault="00306B94" w:rsidP="00306B94">
      <w:pPr>
        <w:rPr>
          <w:sz w:val="26"/>
          <w:szCs w:val="26"/>
        </w:rPr>
      </w:pPr>
      <w:r w:rsidRPr="000D4C15">
        <w:rPr>
          <w:sz w:val="26"/>
          <w:szCs w:val="26"/>
        </w:rPr>
        <w:t xml:space="preserve">Uligheden er </w:t>
      </w:r>
      <w:r>
        <w:rPr>
          <w:sz w:val="26"/>
          <w:szCs w:val="26"/>
        </w:rPr>
        <w:t xml:space="preserve">i de seneste ti år </w:t>
      </w:r>
      <w:r w:rsidRPr="000D4C15">
        <w:rPr>
          <w:sz w:val="26"/>
          <w:szCs w:val="26"/>
        </w:rPr>
        <w:t>steget mere i Danmark end i de fleste andre EU-lande</w:t>
      </w:r>
      <w:r>
        <w:rPr>
          <w:sz w:val="26"/>
          <w:szCs w:val="26"/>
        </w:rPr>
        <w:t xml:space="preserve">. </w:t>
      </w:r>
      <w:r w:rsidRPr="00B071A8">
        <w:rPr>
          <w:sz w:val="26"/>
          <w:szCs w:val="26"/>
        </w:rPr>
        <w:t xml:space="preserve">Vi ved fra en række nyere </w:t>
      </w:r>
      <w:proofErr w:type="spellStart"/>
      <w:r w:rsidRPr="00B071A8">
        <w:rPr>
          <w:sz w:val="26"/>
          <w:szCs w:val="26"/>
        </w:rPr>
        <w:t>socio-økonomiske</w:t>
      </w:r>
      <w:proofErr w:type="spellEnd"/>
      <w:r w:rsidRPr="00B071A8">
        <w:rPr>
          <w:sz w:val="26"/>
          <w:szCs w:val="26"/>
        </w:rPr>
        <w:t xml:space="preserve"> undersøgelser, at mere økonomisk ulighed skaber forringede livsvilkår for alle – også </w:t>
      </w:r>
      <w:r>
        <w:rPr>
          <w:sz w:val="26"/>
          <w:szCs w:val="26"/>
        </w:rPr>
        <w:t>for de rigeste.</w:t>
      </w:r>
      <w:r>
        <w:rPr>
          <w:rStyle w:val="Fodnotehenvisning"/>
          <w:sz w:val="26"/>
          <w:szCs w:val="26"/>
        </w:rPr>
        <w:footnoteReference w:id="1"/>
      </w:r>
    </w:p>
    <w:p w:rsidR="00306B94" w:rsidRPr="00803BBF" w:rsidRDefault="00306B94" w:rsidP="00306B94">
      <w:pPr>
        <w:rPr>
          <w:sz w:val="26"/>
          <w:szCs w:val="26"/>
        </w:rPr>
      </w:pPr>
    </w:p>
    <w:p w:rsidR="00306B94" w:rsidRPr="00B071A8" w:rsidRDefault="00306B94" w:rsidP="00306B94">
      <w:pPr>
        <w:rPr>
          <w:sz w:val="26"/>
          <w:szCs w:val="26"/>
        </w:rPr>
      </w:pPr>
      <w:r w:rsidRPr="00B071A8">
        <w:rPr>
          <w:sz w:val="26"/>
          <w:szCs w:val="26"/>
        </w:rPr>
        <w:t>Uligheden i Danmark kan mindskes og modvirkes ad flere forskellige veje. Velfærdsstaten må her spille den afgørende rolle. For det første via et økonomisk sikkerhedsnet, som modvirker</w:t>
      </w:r>
      <w:r>
        <w:rPr>
          <w:sz w:val="26"/>
          <w:szCs w:val="26"/>
        </w:rPr>
        <w:t>,</w:t>
      </w:r>
      <w:r w:rsidRPr="00B071A8">
        <w:rPr>
          <w:sz w:val="26"/>
          <w:szCs w:val="26"/>
        </w:rPr>
        <w:t xml:space="preserve"> at folk skal frygte at gå fra hus og hjem i tilfælde af en social begivenhed. For det andet via lige og fri adgang til sundhed og pl</w:t>
      </w:r>
      <w:r>
        <w:rPr>
          <w:sz w:val="26"/>
          <w:szCs w:val="26"/>
        </w:rPr>
        <w:t>eje</w:t>
      </w:r>
      <w:r w:rsidRPr="00B071A8">
        <w:rPr>
          <w:sz w:val="26"/>
          <w:szCs w:val="26"/>
        </w:rPr>
        <w:t xml:space="preserve"> og til uddannelse, som både skaber tryghed og social mobilitet. </w:t>
      </w:r>
    </w:p>
    <w:p w:rsidR="00306B94" w:rsidRPr="00B071A8" w:rsidRDefault="00306B94" w:rsidP="00306B94">
      <w:pPr>
        <w:rPr>
          <w:sz w:val="26"/>
          <w:szCs w:val="26"/>
        </w:rPr>
      </w:pPr>
    </w:p>
    <w:p w:rsidR="00306B94" w:rsidRPr="00B071A8" w:rsidRDefault="00306B94" w:rsidP="00306B94">
      <w:pPr>
        <w:rPr>
          <w:sz w:val="26"/>
          <w:szCs w:val="26"/>
        </w:rPr>
      </w:pPr>
      <w:r w:rsidRPr="00B071A8">
        <w:rPr>
          <w:sz w:val="26"/>
          <w:szCs w:val="26"/>
        </w:rPr>
        <w:t>Velfærdsstatens finansiering sker gennem skatter, der samtidigt og for det tredje kan modvirke ulighed og fremme den sociale mobilitet og en mere miljøvenlig produktion og adfærd hos virksomheder og husholdninger.</w:t>
      </w:r>
    </w:p>
    <w:p w:rsidR="00306B94" w:rsidRPr="00B071A8" w:rsidRDefault="00306B94" w:rsidP="00306B94">
      <w:pPr>
        <w:rPr>
          <w:sz w:val="26"/>
          <w:szCs w:val="26"/>
        </w:rPr>
      </w:pPr>
    </w:p>
    <w:p w:rsidR="00306B94" w:rsidRDefault="00306B94" w:rsidP="00306B94">
      <w:pPr>
        <w:widowControl w:val="0"/>
        <w:numPr>
          <w:ilvl w:val="0"/>
          <w:numId w:val="1"/>
        </w:numPr>
        <w:suppressAutoHyphens/>
        <w:rPr>
          <w:sz w:val="26"/>
          <w:szCs w:val="26"/>
        </w:rPr>
      </w:pPr>
      <w:r w:rsidRPr="00B071A8">
        <w:rPr>
          <w:sz w:val="26"/>
          <w:szCs w:val="26"/>
        </w:rPr>
        <w:t>Arve-, formue-, bolig-, kapitalgevinstbeskatning kan med fordel bringes i anven</w:t>
      </w:r>
      <w:r>
        <w:rPr>
          <w:sz w:val="26"/>
          <w:szCs w:val="26"/>
        </w:rPr>
        <w:t>delse, da de mindsker uligheden</w:t>
      </w:r>
      <w:r w:rsidRPr="00B071A8">
        <w:rPr>
          <w:sz w:val="26"/>
          <w:szCs w:val="26"/>
        </w:rPr>
        <w:t xml:space="preserve"> og </w:t>
      </w:r>
      <w:r>
        <w:rPr>
          <w:sz w:val="26"/>
          <w:szCs w:val="26"/>
        </w:rPr>
        <w:t xml:space="preserve">derved </w:t>
      </w:r>
      <w:r w:rsidRPr="00B071A8">
        <w:rPr>
          <w:sz w:val="26"/>
          <w:szCs w:val="26"/>
        </w:rPr>
        <w:t>fremmer den sociale mobilitet.</w:t>
      </w:r>
      <w:r>
        <w:rPr>
          <w:sz w:val="26"/>
          <w:szCs w:val="26"/>
        </w:rPr>
        <w:t xml:space="preserve"> Denne type omfordeling anbefales af den økonomiske samarbejds</w:t>
      </w:r>
      <w:r>
        <w:rPr>
          <w:sz w:val="26"/>
          <w:szCs w:val="26"/>
        </w:rPr>
        <w:softHyphen/>
        <w:t>organisation OECD.</w:t>
      </w:r>
      <w:r>
        <w:rPr>
          <w:rStyle w:val="Fodnotehenvisning"/>
          <w:sz w:val="26"/>
          <w:szCs w:val="26"/>
        </w:rPr>
        <w:footnoteReference w:id="2"/>
      </w:r>
      <w:r>
        <w:rPr>
          <w:sz w:val="26"/>
          <w:szCs w:val="26"/>
        </w:rPr>
        <w:t xml:space="preserve">  </w:t>
      </w:r>
    </w:p>
    <w:p w:rsidR="00306B94" w:rsidRPr="00B071A8" w:rsidRDefault="00306B94" w:rsidP="00306B94">
      <w:pPr>
        <w:widowControl w:val="0"/>
        <w:numPr>
          <w:ilvl w:val="0"/>
          <w:numId w:val="1"/>
        </w:numPr>
        <w:suppressAutoHyphens/>
        <w:rPr>
          <w:sz w:val="26"/>
          <w:szCs w:val="26"/>
        </w:rPr>
      </w:pPr>
      <w:r>
        <w:rPr>
          <w:sz w:val="26"/>
          <w:szCs w:val="26"/>
        </w:rPr>
        <w:t>Det skattemæssige fradrag for al pensionsindbetaling flyttes ned i bunden af skatteskalaen og aftrappes over tiden, da det ikke giver samfundsøkonomisk mening, at pensionskasserne skal administrere den udskudte skat i op til 50 år. I dag har Staten ca. 1.000 mia. kr. til gode i pensionskasserne i form af udskudt skat. (Statens penge ligger nu engang bedst i statskassen!).</w:t>
      </w:r>
    </w:p>
    <w:p w:rsidR="00306B94" w:rsidRPr="00037AB5" w:rsidRDefault="00306B94" w:rsidP="00306B94">
      <w:pPr>
        <w:widowControl w:val="0"/>
        <w:numPr>
          <w:ilvl w:val="0"/>
          <w:numId w:val="1"/>
        </w:numPr>
        <w:suppressAutoHyphens/>
        <w:rPr>
          <w:sz w:val="26"/>
          <w:szCs w:val="26"/>
        </w:rPr>
      </w:pPr>
      <w:r>
        <w:rPr>
          <w:sz w:val="26"/>
          <w:szCs w:val="26"/>
        </w:rPr>
        <w:t xml:space="preserve">Skattesystemet skal gøres mere progressivt: </w:t>
      </w:r>
      <w:r w:rsidRPr="00B071A8">
        <w:rPr>
          <w:sz w:val="26"/>
          <w:szCs w:val="26"/>
        </w:rPr>
        <w:t>Indkomstskatter bør sænkes for personer</w:t>
      </w:r>
      <w:r>
        <w:rPr>
          <w:sz w:val="26"/>
          <w:szCs w:val="26"/>
        </w:rPr>
        <w:t xml:space="preserve"> med små indkomster, og øges for personer med høje indkomster. Det </w:t>
      </w:r>
      <w:r w:rsidRPr="00B071A8">
        <w:rPr>
          <w:sz w:val="26"/>
          <w:szCs w:val="26"/>
        </w:rPr>
        <w:t>mindsker fattigdommen, øger ligheden og modvirker f</w:t>
      </w:r>
      <w:r>
        <w:rPr>
          <w:sz w:val="26"/>
          <w:szCs w:val="26"/>
        </w:rPr>
        <w:t>orvridninger på arbejdsmarkedet.</w:t>
      </w:r>
      <w:r>
        <w:rPr>
          <w:rStyle w:val="Fodnotehenvisning"/>
          <w:sz w:val="26"/>
          <w:szCs w:val="26"/>
        </w:rPr>
        <w:footnoteReference w:id="3"/>
      </w:r>
    </w:p>
    <w:p w:rsidR="00306B94" w:rsidRPr="00B071A8" w:rsidRDefault="00306B94" w:rsidP="00306B94">
      <w:pPr>
        <w:widowControl w:val="0"/>
        <w:numPr>
          <w:ilvl w:val="0"/>
          <w:numId w:val="1"/>
        </w:numPr>
        <w:suppressAutoHyphens/>
        <w:rPr>
          <w:sz w:val="26"/>
          <w:szCs w:val="26"/>
        </w:rPr>
      </w:pPr>
      <w:r w:rsidRPr="00B071A8">
        <w:rPr>
          <w:sz w:val="26"/>
          <w:szCs w:val="26"/>
        </w:rPr>
        <w:t xml:space="preserve">Udviklingen i </w:t>
      </w:r>
      <w:r>
        <w:rPr>
          <w:sz w:val="26"/>
          <w:szCs w:val="26"/>
        </w:rPr>
        <w:t xml:space="preserve">ulighed og fattigdom (og rigdom) </w:t>
      </w:r>
      <w:r w:rsidRPr="00B071A8">
        <w:rPr>
          <w:sz w:val="26"/>
          <w:szCs w:val="26"/>
        </w:rPr>
        <w:t>skal overvåges systematisk</w:t>
      </w:r>
      <w:r>
        <w:rPr>
          <w:sz w:val="26"/>
          <w:szCs w:val="26"/>
        </w:rPr>
        <w:t xml:space="preserve">, så eventuelle forringelser kan afhjælpes hurtigt og effektivt. Til illustration af udviklingen kunne der - modsvarende til en fattigdomsgrænse (medianindkomst minus 50 pct.) – defineres en rigdomsgrænse (fx medianindkomsten plus 50 pct.). </w:t>
      </w:r>
    </w:p>
    <w:tbl>
      <w:tblPr>
        <w:tblW w:w="0" w:type="auto"/>
        <w:tblInd w:w="1231" w:type="dxa"/>
        <w:tblLayout w:type="fixed"/>
        <w:tblCellMar>
          <w:top w:w="55" w:type="dxa"/>
          <w:left w:w="55" w:type="dxa"/>
          <w:bottom w:w="55" w:type="dxa"/>
          <w:right w:w="55" w:type="dxa"/>
        </w:tblCellMar>
        <w:tblLook w:val="0000"/>
      </w:tblPr>
      <w:tblGrid>
        <w:gridCol w:w="7471"/>
      </w:tblGrid>
      <w:tr w:rsidR="00306B94" w:rsidTr="00DC402F">
        <w:tc>
          <w:tcPr>
            <w:tcW w:w="7471" w:type="dxa"/>
            <w:tcBorders>
              <w:top w:val="single" w:sz="2" w:space="0" w:color="000000"/>
              <w:left w:val="single" w:sz="2" w:space="0" w:color="000000"/>
              <w:bottom w:val="single" w:sz="2" w:space="0" w:color="000000"/>
              <w:right w:val="single" w:sz="2" w:space="0" w:color="000000"/>
            </w:tcBorders>
          </w:tcPr>
          <w:p w:rsidR="00306B94" w:rsidRDefault="00306B94" w:rsidP="00DC402F">
            <w:pPr>
              <w:pageBreakBefore/>
            </w:pPr>
            <w:r>
              <w:rPr>
                <w:b/>
                <w:bCs/>
                <w:sz w:val="28"/>
                <w:szCs w:val="28"/>
              </w:rPr>
              <w:lastRenderedPageBreak/>
              <w:t>For lille progression i det danske skattesystem</w:t>
            </w:r>
          </w:p>
          <w:p w:rsidR="00306B94" w:rsidRDefault="00306B94" w:rsidP="00DC402F">
            <w:r>
              <w:t>Personbeskatningen er på grund af skattestop og skattelettelser blevet markant mindre progressiv, hvilket bidrager til at give et mindre provenu. Alene en tilbagevenden til de skatteregler, der gjaldt i 2001 ville give et ekstra provenu på 46 mia. kr.</w:t>
            </w:r>
            <w:r>
              <w:rPr>
                <w:rStyle w:val="Fodnotehenvisning"/>
              </w:rPr>
              <w:footnoteReference w:id="4"/>
            </w:r>
            <w:r>
              <w:t xml:space="preserve"> Det bør erindres, at beskatning af en gennem</w:t>
            </w:r>
            <w:r>
              <w:softHyphen/>
              <w:t>snitlig lønindkomst i Danmark ligger i den lave ende blandt EU-landene.</w:t>
            </w:r>
          </w:p>
          <w:p w:rsidR="00306B94" w:rsidRDefault="00306B94" w:rsidP="00DC402F">
            <w:r>
              <w:t>Hertil kommer, at formue-, selskabs- og boligskat og arveafgift også er blevet reduceret og i dag på flere områder ligger under EU-gennemsnittet.</w:t>
            </w:r>
          </w:p>
          <w:p w:rsidR="00306B94" w:rsidRDefault="00306B94" w:rsidP="00DC402F">
            <w:r>
              <w:t>Omvendt ligger momsen, forbrugsskatter og de grønne afgifter betydeligt over EU-gennemsnit, hvilket også øger uligheden målt ved den disponible indkomsts købekraft.</w:t>
            </w:r>
          </w:p>
          <w:p w:rsidR="00306B94" w:rsidRDefault="00306B94" w:rsidP="00DC402F">
            <w:r>
              <w:t>Opgørelsen af det fortsat tilsyneladende høje danske ’skattetryk’ er påvirket af den overgangsvise betydelige kulbrinte- og pensionsafkastbeskatning.</w:t>
            </w:r>
          </w:p>
        </w:tc>
      </w:tr>
    </w:tbl>
    <w:p w:rsidR="00306B94" w:rsidRDefault="00306B94" w:rsidP="00306B94"/>
    <w:p w:rsidR="00306B94" w:rsidRDefault="00306B94" w:rsidP="00306B94">
      <w:pPr>
        <w:rPr>
          <w:b/>
          <w:bCs/>
          <w:sz w:val="28"/>
          <w:szCs w:val="28"/>
        </w:rPr>
      </w:pPr>
    </w:p>
    <w:p w:rsidR="00306B94" w:rsidRDefault="00306B94" w:rsidP="00306B94">
      <w:pPr>
        <w:rPr>
          <w:b/>
          <w:bCs/>
          <w:sz w:val="28"/>
          <w:szCs w:val="28"/>
        </w:rPr>
      </w:pPr>
      <w:r>
        <w:rPr>
          <w:b/>
          <w:bCs/>
          <w:sz w:val="28"/>
          <w:szCs w:val="28"/>
        </w:rPr>
        <w:t>Social sikring er en af grundpillerne under den danske arbejdsmarkedsmodel</w:t>
      </w:r>
    </w:p>
    <w:p w:rsidR="00306B94" w:rsidRDefault="00306B94" w:rsidP="00306B94">
      <w:pPr>
        <w:rPr>
          <w:b/>
          <w:bCs/>
          <w:sz w:val="28"/>
          <w:szCs w:val="28"/>
        </w:rPr>
      </w:pPr>
    </w:p>
    <w:p w:rsidR="00306B94" w:rsidRDefault="00306B94" w:rsidP="00306B94">
      <w:pPr>
        <w:widowControl w:val="0"/>
        <w:numPr>
          <w:ilvl w:val="0"/>
          <w:numId w:val="2"/>
        </w:numPr>
        <w:suppressAutoHyphens/>
        <w:rPr>
          <w:sz w:val="26"/>
          <w:szCs w:val="26"/>
        </w:rPr>
      </w:pPr>
      <w:proofErr w:type="spellStart"/>
      <w:r>
        <w:rPr>
          <w:sz w:val="26"/>
          <w:szCs w:val="26"/>
        </w:rPr>
        <w:t>F</w:t>
      </w:r>
      <w:r w:rsidRPr="00B071A8">
        <w:rPr>
          <w:sz w:val="26"/>
          <w:szCs w:val="26"/>
        </w:rPr>
        <w:t>lexicurity</w:t>
      </w:r>
      <w:proofErr w:type="spellEnd"/>
      <w:r>
        <w:rPr>
          <w:sz w:val="26"/>
          <w:szCs w:val="26"/>
        </w:rPr>
        <w:t xml:space="preserve"> på det danske arbejdsmarked, forstået som et fleksibelt arbejdsmarked understøttet af et solidt socialt sikringssystem, </w:t>
      </w:r>
      <w:r w:rsidRPr="00B071A8">
        <w:rPr>
          <w:sz w:val="26"/>
          <w:szCs w:val="26"/>
        </w:rPr>
        <w:t xml:space="preserve">er blevet svækket </w:t>
      </w:r>
      <w:r>
        <w:rPr>
          <w:sz w:val="26"/>
          <w:szCs w:val="26"/>
        </w:rPr>
        <w:t xml:space="preserve">gennem </w:t>
      </w:r>
      <w:r w:rsidRPr="00B071A8">
        <w:rPr>
          <w:sz w:val="26"/>
          <w:szCs w:val="26"/>
        </w:rPr>
        <w:t xml:space="preserve">de seneste ti år. </w:t>
      </w:r>
      <w:r>
        <w:rPr>
          <w:sz w:val="26"/>
          <w:szCs w:val="26"/>
        </w:rPr>
        <w:t xml:space="preserve">Det har skabt utryghed og bidraget til at reducere arbejdsudbuddet. </w:t>
      </w:r>
      <w:r w:rsidRPr="00B071A8">
        <w:rPr>
          <w:sz w:val="26"/>
          <w:szCs w:val="26"/>
        </w:rPr>
        <w:t xml:space="preserve">Det kunne modvirkes gennem en </w:t>
      </w:r>
      <w:r>
        <w:rPr>
          <w:sz w:val="26"/>
          <w:szCs w:val="26"/>
        </w:rPr>
        <w:t>forstærkning</w:t>
      </w:r>
      <w:r w:rsidRPr="00B071A8">
        <w:rPr>
          <w:sz w:val="26"/>
          <w:szCs w:val="26"/>
        </w:rPr>
        <w:t xml:space="preserve"> af den sociale si</w:t>
      </w:r>
      <w:r>
        <w:rPr>
          <w:sz w:val="26"/>
          <w:szCs w:val="26"/>
        </w:rPr>
        <w:t>kring, navnlig dagpengesystemet, fx med en kortere optjeningsperiode, et højere</w:t>
      </w:r>
      <w:r w:rsidRPr="00B071A8">
        <w:rPr>
          <w:sz w:val="26"/>
          <w:szCs w:val="26"/>
        </w:rPr>
        <w:t xml:space="preserve"> </w:t>
      </w:r>
      <w:r>
        <w:rPr>
          <w:sz w:val="26"/>
          <w:szCs w:val="26"/>
        </w:rPr>
        <w:t>start</w:t>
      </w:r>
      <w:r w:rsidRPr="00B071A8">
        <w:rPr>
          <w:sz w:val="26"/>
          <w:szCs w:val="26"/>
        </w:rPr>
        <w:t xml:space="preserve">niveau </w:t>
      </w:r>
      <w:r>
        <w:rPr>
          <w:sz w:val="26"/>
          <w:szCs w:val="26"/>
        </w:rPr>
        <w:t>(dog fortsat max. 90 pct. af hidtidig løn) kombineret med en forlængelse af den periode, det er muligt at modtage dagpenge.</w:t>
      </w:r>
    </w:p>
    <w:p w:rsidR="00306B94" w:rsidRPr="00B071A8" w:rsidRDefault="00306B94" w:rsidP="00306B94">
      <w:pPr>
        <w:widowControl w:val="0"/>
        <w:numPr>
          <w:ilvl w:val="0"/>
          <w:numId w:val="2"/>
        </w:numPr>
        <w:suppressAutoHyphens/>
        <w:rPr>
          <w:sz w:val="26"/>
          <w:szCs w:val="26"/>
        </w:rPr>
      </w:pPr>
      <w:r>
        <w:rPr>
          <w:sz w:val="26"/>
          <w:szCs w:val="26"/>
        </w:rPr>
        <w:t>Ungdomsarbejdsløsheden er steget mest, derfor bør efterlønsordningen genindføres i den form den havde efter velfærdsforliget i 2006 – dog med modregning af pensionstilsagn i hele perioden. Det ville herved blive en reel social sikring af lavtlønsgruppen 5 år inden folkepensionsalderen, der samtidig ville skabe plads til unge arbejdsløse.</w:t>
      </w:r>
    </w:p>
    <w:p w:rsidR="00306B94" w:rsidRPr="00B071A8" w:rsidRDefault="00306B94" w:rsidP="00306B94">
      <w:pPr>
        <w:widowControl w:val="0"/>
        <w:numPr>
          <w:ilvl w:val="0"/>
          <w:numId w:val="2"/>
        </w:numPr>
        <w:suppressAutoHyphens/>
        <w:rPr>
          <w:sz w:val="26"/>
          <w:szCs w:val="26"/>
        </w:rPr>
      </w:pPr>
      <w:r w:rsidRPr="00B071A8">
        <w:rPr>
          <w:sz w:val="26"/>
          <w:szCs w:val="26"/>
        </w:rPr>
        <w:t xml:space="preserve">Den danske model er under pres, overenskomsterne er ikke så dækkende som tidligere. Der er derfor behov for </w:t>
      </w:r>
      <w:r>
        <w:rPr>
          <w:sz w:val="26"/>
          <w:szCs w:val="26"/>
        </w:rPr>
        <w:t xml:space="preserve">en ekstra indsats for at sikre at de </w:t>
      </w:r>
      <w:r w:rsidRPr="00B071A8">
        <w:rPr>
          <w:sz w:val="26"/>
          <w:szCs w:val="26"/>
        </w:rPr>
        <w:t>mindste</w:t>
      </w:r>
      <w:r>
        <w:rPr>
          <w:sz w:val="26"/>
          <w:szCs w:val="26"/>
        </w:rPr>
        <w:t xml:space="preserve"> </w:t>
      </w:r>
      <w:r w:rsidRPr="00B071A8">
        <w:rPr>
          <w:sz w:val="26"/>
          <w:szCs w:val="26"/>
        </w:rPr>
        <w:t>løn</w:t>
      </w:r>
      <w:r>
        <w:rPr>
          <w:sz w:val="26"/>
          <w:szCs w:val="26"/>
        </w:rPr>
        <w:t>ninger er til at leve af – fx over for social dumping.</w:t>
      </w:r>
    </w:p>
    <w:p w:rsidR="00306B94" w:rsidRDefault="00306B94" w:rsidP="00306B94">
      <w:pPr>
        <w:widowControl w:val="0"/>
        <w:numPr>
          <w:ilvl w:val="0"/>
          <w:numId w:val="2"/>
        </w:numPr>
        <w:suppressAutoHyphens/>
        <w:rPr>
          <w:sz w:val="26"/>
          <w:szCs w:val="26"/>
        </w:rPr>
      </w:pPr>
      <w:r>
        <w:rPr>
          <w:sz w:val="26"/>
          <w:szCs w:val="26"/>
        </w:rPr>
        <w:t>De fleste dansker</w:t>
      </w:r>
      <w:r w:rsidRPr="00B071A8">
        <w:rPr>
          <w:sz w:val="26"/>
          <w:szCs w:val="26"/>
        </w:rPr>
        <w:t>e ønsker kortere arbejdstid</w:t>
      </w:r>
      <w:r>
        <w:rPr>
          <w:sz w:val="26"/>
          <w:szCs w:val="26"/>
        </w:rPr>
        <w:t>.</w:t>
      </w:r>
      <w:r>
        <w:rPr>
          <w:rStyle w:val="Fodnotehenvisning"/>
          <w:sz w:val="26"/>
          <w:szCs w:val="26"/>
        </w:rPr>
        <w:footnoteReference w:id="5"/>
      </w:r>
      <w:r>
        <w:rPr>
          <w:sz w:val="26"/>
          <w:szCs w:val="26"/>
        </w:rPr>
        <w:t xml:space="preserve"> En kortere arbejdstid ville være godt for miljø og klima og desuden, med uændret produktion, give job til flere. M</w:t>
      </w:r>
      <w:r w:rsidRPr="00B071A8">
        <w:rPr>
          <w:sz w:val="26"/>
          <w:szCs w:val="26"/>
        </w:rPr>
        <w:t xml:space="preserve">en tradition og stive strukturer er barrierer </w:t>
      </w:r>
      <w:r>
        <w:rPr>
          <w:sz w:val="26"/>
          <w:szCs w:val="26"/>
        </w:rPr>
        <w:t>for at få ønsket opfyldt. Disse kunne mindske</w:t>
      </w:r>
      <w:r w:rsidRPr="00B071A8">
        <w:rPr>
          <w:sz w:val="26"/>
          <w:szCs w:val="26"/>
        </w:rPr>
        <w:t>s</w:t>
      </w:r>
      <w:r>
        <w:rPr>
          <w:sz w:val="26"/>
          <w:szCs w:val="26"/>
        </w:rPr>
        <w:t>,</w:t>
      </w:r>
      <w:r w:rsidRPr="00B071A8">
        <w:rPr>
          <w:sz w:val="26"/>
          <w:szCs w:val="26"/>
        </w:rPr>
        <w:t xml:space="preserve"> hvis de kollektive overen</w:t>
      </w:r>
      <w:r>
        <w:rPr>
          <w:sz w:val="26"/>
          <w:szCs w:val="26"/>
        </w:rPr>
        <w:t>skomster fik indføjet en ret for arbejdstagerne om inden for aftalte</w:t>
      </w:r>
      <w:r w:rsidRPr="00B071A8">
        <w:rPr>
          <w:sz w:val="26"/>
          <w:szCs w:val="26"/>
        </w:rPr>
        <w:t xml:space="preserve"> rammer at </w:t>
      </w:r>
      <w:r>
        <w:rPr>
          <w:sz w:val="26"/>
          <w:szCs w:val="26"/>
        </w:rPr>
        <w:t xml:space="preserve">kunne </w:t>
      </w:r>
      <w:r w:rsidRPr="00B071A8">
        <w:rPr>
          <w:sz w:val="26"/>
          <w:szCs w:val="26"/>
        </w:rPr>
        <w:t>vælge mellem løn og arbejdstid</w:t>
      </w:r>
      <w:r>
        <w:rPr>
          <w:sz w:val="26"/>
          <w:szCs w:val="26"/>
        </w:rPr>
        <w:t xml:space="preserve"> og/eller mellem arbejdstid og fritid. Der kunne oprettes en ’</w:t>
      </w:r>
      <w:proofErr w:type="spellStart"/>
      <w:r>
        <w:rPr>
          <w:sz w:val="26"/>
          <w:szCs w:val="26"/>
        </w:rPr>
        <w:t>tidsbank</w:t>
      </w:r>
      <w:proofErr w:type="spellEnd"/>
      <w:r>
        <w:rPr>
          <w:sz w:val="26"/>
          <w:szCs w:val="26"/>
        </w:rPr>
        <w:t>’, hvor overtid kan hæves = giver ret til selvvalgte perioder uden arbejde eller med nedsat arbejdstid.</w:t>
      </w:r>
    </w:p>
    <w:p w:rsidR="00306B94" w:rsidRDefault="00306B94" w:rsidP="00306B94">
      <w:pPr>
        <w:widowControl w:val="0"/>
        <w:numPr>
          <w:ilvl w:val="0"/>
          <w:numId w:val="2"/>
        </w:numPr>
        <w:suppressAutoHyphens/>
        <w:rPr>
          <w:sz w:val="26"/>
          <w:szCs w:val="26"/>
        </w:rPr>
      </w:pPr>
      <w:r>
        <w:rPr>
          <w:sz w:val="26"/>
          <w:szCs w:val="26"/>
        </w:rPr>
        <w:t xml:space="preserve">Den normale arbejdstid kunne også samlet reduceres i takt med stigninger i arbejdsproduktiviteten. Herved kunne arbejdsugen reduceres til fire dage i løbet af en halv snes år uden at forringe årsløn og konkurrenceevne. (Den normale arbejdsuge i Frankrig er i dag 35 timer.) </w:t>
      </w:r>
    </w:p>
    <w:p w:rsidR="00306B94" w:rsidRDefault="00306B94" w:rsidP="00306B94">
      <w:pPr>
        <w:widowControl w:val="0"/>
        <w:numPr>
          <w:ilvl w:val="0"/>
          <w:numId w:val="2"/>
        </w:numPr>
        <w:suppressAutoHyphens/>
        <w:rPr>
          <w:sz w:val="26"/>
          <w:szCs w:val="26"/>
        </w:rPr>
      </w:pPr>
      <w:r w:rsidRPr="00CF7471">
        <w:rPr>
          <w:sz w:val="26"/>
          <w:szCs w:val="26"/>
        </w:rPr>
        <w:t xml:space="preserve">Ret til efteruddannelse og pasning af børn og alvorligt syge familiemedlemmer med dagpenge i op til ét år. </w:t>
      </w:r>
      <w:r>
        <w:rPr>
          <w:sz w:val="26"/>
          <w:szCs w:val="26"/>
        </w:rPr>
        <w:t xml:space="preserve">Orlovsordninger og mulighed for jobrotation lovfæstes i </w:t>
      </w:r>
      <w:r>
        <w:rPr>
          <w:sz w:val="26"/>
          <w:szCs w:val="26"/>
        </w:rPr>
        <w:lastRenderedPageBreak/>
        <w:t xml:space="preserve">overensstemmelse med ILO konvention 140 om ”Betalt frihed til uddannelse”. Danmark bør snarest ratificere denne konvention. </w:t>
      </w:r>
    </w:p>
    <w:p w:rsidR="00306B94" w:rsidRPr="00CF7471" w:rsidRDefault="00306B94" w:rsidP="00306B94">
      <w:pPr>
        <w:widowControl w:val="0"/>
        <w:numPr>
          <w:ilvl w:val="0"/>
          <w:numId w:val="2"/>
        </w:numPr>
        <w:suppressAutoHyphens/>
        <w:rPr>
          <w:sz w:val="26"/>
          <w:szCs w:val="26"/>
        </w:rPr>
      </w:pPr>
      <w:r w:rsidRPr="00CF7471">
        <w:rPr>
          <w:sz w:val="26"/>
          <w:szCs w:val="26"/>
        </w:rPr>
        <w:t>Sikring af tilstrækkelige lære- og praktikpladser: ingen større arbejdsplads må være uden lærlinge og praktikanter. De økonomiske incitamenter til at skabe plads til de unge og tage lærlinge og praktikanter ind er tydeligvis utilstrækkelige og må skærpes.</w:t>
      </w:r>
    </w:p>
    <w:p w:rsidR="00306B94" w:rsidRDefault="00306B94" w:rsidP="00306B94">
      <w:pPr>
        <w:rPr>
          <w:sz w:val="26"/>
          <w:szCs w:val="26"/>
        </w:rPr>
      </w:pPr>
    </w:p>
    <w:p w:rsidR="00306B94" w:rsidRDefault="00306B94" w:rsidP="00306B94"/>
    <w:tbl>
      <w:tblPr>
        <w:tblW w:w="0" w:type="auto"/>
        <w:tblInd w:w="906" w:type="dxa"/>
        <w:tblLayout w:type="fixed"/>
        <w:tblCellMar>
          <w:top w:w="55" w:type="dxa"/>
          <w:left w:w="55" w:type="dxa"/>
          <w:bottom w:w="55" w:type="dxa"/>
          <w:right w:w="55" w:type="dxa"/>
        </w:tblCellMar>
        <w:tblLook w:val="0000"/>
      </w:tblPr>
      <w:tblGrid>
        <w:gridCol w:w="7796"/>
      </w:tblGrid>
      <w:tr w:rsidR="00306B94" w:rsidTr="00DC402F">
        <w:tc>
          <w:tcPr>
            <w:tcW w:w="7796" w:type="dxa"/>
            <w:tcBorders>
              <w:top w:val="single" w:sz="2" w:space="0" w:color="000000"/>
              <w:left w:val="single" w:sz="2" w:space="0" w:color="000000"/>
              <w:bottom w:val="single" w:sz="2" w:space="0" w:color="000000"/>
              <w:right w:val="single" w:sz="2" w:space="0" w:color="000000"/>
            </w:tcBorders>
          </w:tcPr>
          <w:p w:rsidR="00306B94" w:rsidRDefault="00306B94" w:rsidP="00DC402F">
            <w:r>
              <w:rPr>
                <w:b/>
                <w:bCs/>
                <w:sz w:val="28"/>
                <w:szCs w:val="28"/>
              </w:rPr>
              <w:t>Mindsteløn og fattigdomsgrænse</w:t>
            </w:r>
          </w:p>
          <w:p w:rsidR="00306B94" w:rsidRDefault="00306B94" w:rsidP="00DC402F">
            <w:r>
              <w:t xml:space="preserve">I modsætning til mange andre lande har Danmark ikke nogen lovbestemt mindsteløn. Her i landet påhviler det os derfor alle sammen, at de laveste lønninger har et niveau, som er til at leve for. </w:t>
            </w:r>
          </w:p>
          <w:p w:rsidR="00306B94" w:rsidRDefault="00306B94" w:rsidP="00DC402F">
            <w:r>
              <w:t>Der er mange forskellige definitioner af fattigdom. Ifølge regeringen er man fattig, når man tre år i træk har haft en årlig disponibel indkomst på ikke over 103.200 kr. (152.000 kr. for par).  I alt var ca. 42.000 fattige i 2012 ifølge den stramme definition. I 1999 var det tilsvarende antal fattige efter samme definition ca. 16.000 personer.</w:t>
            </w:r>
            <w:r>
              <w:rPr>
                <w:rStyle w:val="Fodnotehenvisning"/>
              </w:rPr>
              <w:footnoteReference w:id="6"/>
            </w:r>
          </w:p>
          <w:p w:rsidR="00306B94" w:rsidRDefault="00306B94" w:rsidP="00DC402F">
            <w:r>
              <w:t xml:space="preserve">Danmark har siden 2001 haft en af de største stigninger i uligheden blandt vesteuropæiske lande. </w:t>
            </w:r>
            <w:proofErr w:type="spellStart"/>
            <w:r>
              <w:t>Gini-koefficienten</w:t>
            </w:r>
            <w:proofErr w:type="spellEnd"/>
            <w:r>
              <w:t xml:space="preserve"> er steget fra ca. 0,24 til 0,28</w:t>
            </w:r>
          </w:p>
          <w:p w:rsidR="00306B94" w:rsidRDefault="00306B94" w:rsidP="00DC402F">
            <w:pPr>
              <w:rPr>
                <w:sz w:val="28"/>
                <w:szCs w:val="28"/>
              </w:rPr>
            </w:pPr>
            <w:r>
              <w:t>Danskerne har gennemsnitligt oplevet en reallønsfremgang på 37.000 kr. siden 2002. De 10 procent rigeste havde en stigning på mere end 100.000 kr., mens de 10 procent fattigste i dag har en lavere indkomst end i 2002.</w:t>
            </w:r>
            <w:r>
              <w:rPr>
                <w:rStyle w:val="Fodnotehenvisning"/>
              </w:rPr>
              <w:footnoteReference w:id="7"/>
            </w:r>
          </w:p>
        </w:tc>
      </w:tr>
    </w:tbl>
    <w:p w:rsidR="00306B94" w:rsidRDefault="00306B94" w:rsidP="00306B94">
      <w:pPr>
        <w:rPr>
          <w:sz w:val="28"/>
          <w:szCs w:val="28"/>
        </w:rPr>
      </w:pPr>
    </w:p>
    <w:p w:rsidR="00306B94" w:rsidRDefault="00306B94" w:rsidP="00306B94">
      <w:pPr>
        <w:rPr>
          <w:b/>
          <w:bCs/>
          <w:sz w:val="28"/>
          <w:szCs w:val="28"/>
        </w:rPr>
      </w:pPr>
    </w:p>
    <w:p w:rsidR="00306B94" w:rsidRDefault="00306B94" w:rsidP="00306B94">
      <w:pPr>
        <w:rPr>
          <w:sz w:val="28"/>
          <w:szCs w:val="28"/>
        </w:rPr>
      </w:pPr>
      <w:r>
        <w:rPr>
          <w:b/>
          <w:bCs/>
          <w:sz w:val="28"/>
          <w:szCs w:val="28"/>
        </w:rPr>
        <w:t>Omstilling til bæredygtig udvikling</w:t>
      </w:r>
    </w:p>
    <w:p w:rsidR="00306B94" w:rsidRDefault="00306B94" w:rsidP="00306B94">
      <w:pPr>
        <w:rPr>
          <w:sz w:val="28"/>
          <w:szCs w:val="28"/>
        </w:rPr>
      </w:pPr>
    </w:p>
    <w:p w:rsidR="00306B94" w:rsidRPr="00B071A8" w:rsidRDefault="00306B94" w:rsidP="00306B94">
      <w:pPr>
        <w:rPr>
          <w:sz w:val="26"/>
          <w:szCs w:val="26"/>
        </w:rPr>
      </w:pPr>
      <w:r w:rsidRPr="00B071A8">
        <w:rPr>
          <w:sz w:val="26"/>
          <w:szCs w:val="26"/>
        </w:rPr>
        <w:t xml:space="preserve">Den store økonomiske produktion er en miljømæssig belastning og forandrer klimaet. Ifølge </w:t>
      </w:r>
      <w:hyperlink r:id="rId7" w:history="1">
        <w:r w:rsidRPr="00D96A0C">
          <w:rPr>
            <w:sz w:val="26"/>
            <w:szCs w:val="26"/>
          </w:rPr>
          <w:t>FN's Klimapanel, IPCC,</w:t>
        </w:r>
      </w:hyperlink>
      <w:r w:rsidRPr="00D96A0C">
        <w:rPr>
          <w:sz w:val="26"/>
          <w:szCs w:val="26"/>
        </w:rPr>
        <w:t xml:space="preserve"> skal miljøbelastningen sænkes og klimapåvirkningen reduceres,</w:t>
      </w:r>
      <w:r w:rsidRPr="00B071A8">
        <w:rPr>
          <w:sz w:val="26"/>
          <w:szCs w:val="26"/>
        </w:rPr>
        <w:t xml:space="preserve"> hvis vi skal kunne give os selv og vore børn og børnebørn en tryg fremtid.</w:t>
      </w:r>
    </w:p>
    <w:p w:rsidR="00306B94" w:rsidRPr="00B071A8" w:rsidRDefault="00306B94" w:rsidP="00306B94">
      <w:pPr>
        <w:rPr>
          <w:sz w:val="26"/>
          <w:szCs w:val="26"/>
        </w:rPr>
      </w:pPr>
    </w:p>
    <w:p w:rsidR="00306B94" w:rsidRPr="00FF0A80" w:rsidRDefault="00306B94" w:rsidP="00306B94">
      <w:pPr>
        <w:widowControl w:val="0"/>
        <w:numPr>
          <w:ilvl w:val="0"/>
          <w:numId w:val="3"/>
        </w:numPr>
        <w:suppressAutoHyphens/>
        <w:rPr>
          <w:sz w:val="26"/>
          <w:szCs w:val="26"/>
        </w:rPr>
      </w:pPr>
      <w:r w:rsidRPr="00B071A8">
        <w:rPr>
          <w:sz w:val="26"/>
          <w:szCs w:val="26"/>
        </w:rPr>
        <w:t>Den miljømæssige belastning kan bl.a. reduceres gennem en omstilling væk fra fossil energi</w:t>
      </w:r>
      <w:r>
        <w:rPr>
          <w:sz w:val="26"/>
          <w:szCs w:val="26"/>
        </w:rPr>
        <w:t xml:space="preserve">. Et </w:t>
      </w:r>
      <w:proofErr w:type="spellStart"/>
      <w:r>
        <w:rPr>
          <w:sz w:val="26"/>
          <w:szCs w:val="26"/>
        </w:rPr>
        <w:t>fossilfrit</w:t>
      </w:r>
      <w:proofErr w:type="spellEnd"/>
      <w:r>
        <w:rPr>
          <w:sz w:val="26"/>
          <w:szCs w:val="26"/>
        </w:rPr>
        <w:t xml:space="preserve"> Danmark vil </w:t>
      </w:r>
      <w:r w:rsidRPr="00FF0A80">
        <w:rPr>
          <w:sz w:val="26"/>
          <w:szCs w:val="26"/>
        </w:rPr>
        <w:t xml:space="preserve">ifølge </w:t>
      </w:r>
      <w:hyperlink r:id="rId8" w:history="1">
        <w:r w:rsidRPr="00FF0A80">
          <w:rPr>
            <w:sz w:val="26"/>
            <w:szCs w:val="26"/>
          </w:rPr>
          <w:t>Klimakommissionen</w:t>
        </w:r>
        <w:r>
          <w:rPr>
            <w:rStyle w:val="Fodnotehenvisning"/>
            <w:sz w:val="26"/>
            <w:szCs w:val="26"/>
          </w:rPr>
          <w:footnoteReference w:id="8"/>
        </w:r>
        <w:r w:rsidRPr="00FF0A80">
          <w:rPr>
            <w:sz w:val="26"/>
            <w:szCs w:val="26"/>
          </w:rPr>
          <w:t xml:space="preserve"> </w:t>
        </w:r>
      </w:hyperlink>
      <w:r>
        <w:rPr>
          <w:sz w:val="26"/>
          <w:szCs w:val="26"/>
        </w:rPr>
        <w:t xml:space="preserve"> </w:t>
      </w:r>
      <w:r w:rsidRPr="00FF0A80">
        <w:rPr>
          <w:sz w:val="26"/>
          <w:szCs w:val="26"/>
        </w:rPr>
        <w:t xml:space="preserve">koste </w:t>
      </w:r>
      <w:r>
        <w:rPr>
          <w:sz w:val="26"/>
          <w:szCs w:val="26"/>
        </w:rPr>
        <w:t xml:space="preserve">os kun </w:t>
      </w:r>
      <w:r w:rsidRPr="00FF0A80">
        <w:rPr>
          <w:sz w:val="26"/>
          <w:szCs w:val="26"/>
        </w:rPr>
        <w:t>ca. ½ pct. af BNP. Desuden skal reduktion af anvendelsen af naturfremmede materialer og kemikalier i produktionen (f.eks. via mere økologisk landbrug) fremmes.</w:t>
      </w:r>
    </w:p>
    <w:p w:rsidR="00306B94" w:rsidRDefault="00306B94" w:rsidP="00306B94">
      <w:pPr>
        <w:widowControl w:val="0"/>
        <w:numPr>
          <w:ilvl w:val="0"/>
          <w:numId w:val="3"/>
        </w:numPr>
        <w:suppressAutoHyphens/>
        <w:rPr>
          <w:sz w:val="26"/>
          <w:szCs w:val="26"/>
        </w:rPr>
      </w:pPr>
      <w:r w:rsidRPr="00FF0A80">
        <w:rPr>
          <w:sz w:val="26"/>
          <w:szCs w:val="26"/>
        </w:rPr>
        <w:t>Denne udvikling understøttes gennem</w:t>
      </w:r>
      <w:r w:rsidRPr="00B071A8">
        <w:rPr>
          <w:sz w:val="26"/>
          <w:szCs w:val="26"/>
        </w:rPr>
        <w:t xml:space="preserve"> en langsommere stigning i det private forbrug sikret gennem nedsat arbejdstid og grønne afgifter med en social profil. En del af provenuet fra de grønne afgifter </w:t>
      </w:r>
      <w:r>
        <w:rPr>
          <w:sz w:val="26"/>
          <w:szCs w:val="26"/>
        </w:rPr>
        <w:t xml:space="preserve">kan med fordel </w:t>
      </w:r>
      <w:r w:rsidRPr="00B071A8">
        <w:rPr>
          <w:sz w:val="26"/>
          <w:szCs w:val="26"/>
        </w:rPr>
        <w:t>øremærkes til fremme af grøn omstilling og tilskud til særligt konkurrenceudsatte erhverv.</w:t>
      </w:r>
    </w:p>
    <w:p w:rsidR="00306B94" w:rsidRPr="00A405FF" w:rsidRDefault="00306B94" w:rsidP="00306B94">
      <w:pPr>
        <w:widowControl w:val="0"/>
        <w:numPr>
          <w:ilvl w:val="0"/>
          <w:numId w:val="3"/>
        </w:numPr>
        <w:suppressAutoHyphens/>
        <w:rPr>
          <w:sz w:val="26"/>
          <w:szCs w:val="26"/>
        </w:rPr>
      </w:pPr>
      <w:r w:rsidRPr="00A405FF">
        <w:rPr>
          <w:sz w:val="26"/>
          <w:szCs w:val="26"/>
        </w:rPr>
        <w:t>Finansieringen af større investeringer i infrastruktur og vedvarende energi kan med fordel ske i samarbejde med pensionskasserne. Beskatning af pensionsformuernes afkast bør ændres, så aktive investeringer i omstilling til bæredygtig udvikling sikres gennem en lavere beskatning af afkastet.</w:t>
      </w:r>
    </w:p>
    <w:p w:rsidR="00306B94" w:rsidRDefault="00306B94" w:rsidP="00306B94">
      <w:pPr>
        <w:rPr>
          <w:sz w:val="26"/>
          <w:szCs w:val="26"/>
        </w:rPr>
      </w:pPr>
      <w:r>
        <w:rPr>
          <w:sz w:val="26"/>
          <w:szCs w:val="26"/>
        </w:rPr>
        <w:br w:type="page"/>
      </w:r>
    </w:p>
    <w:p w:rsidR="00306B94" w:rsidRPr="00B071A8" w:rsidRDefault="00306B94" w:rsidP="00306B94">
      <w:pPr>
        <w:rPr>
          <w:sz w:val="26"/>
          <w:szCs w:val="26"/>
        </w:rPr>
      </w:pPr>
    </w:p>
    <w:p w:rsidR="00306B94" w:rsidRPr="00B071A8" w:rsidRDefault="00306B94" w:rsidP="00306B94">
      <w:pPr>
        <w:rPr>
          <w:sz w:val="26"/>
          <w:szCs w:val="26"/>
        </w:rPr>
      </w:pPr>
    </w:p>
    <w:p w:rsidR="00306B94" w:rsidRDefault="00306B94" w:rsidP="00306B94"/>
    <w:tbl>
      <w:tblPr>
        <w:tblW w:w="0" w:type="auto"/>
        <w:tblInd w:w="764" w:type="dxa"/>
        <w:tblLayout w:type="fixed"/>
        <w:tblCellMar>
          <w:top w:w="55" w:type="dxa"/>
          <w:left w:w="55" w:type="dxa"/>
          <w:bottom w:w="55" w:type="dxa"/>
          <w:right w:w="55" w:type="dxa"/>
        </w:tblCellMar>
        <w:tblLook w:val="0000"/>
      </w:tblPr>
      <w:tblGrid>
        <w:gridCol w:w="8222"/>
      </w:tblGrid>
      <w:tr w:rsidR="00306B94" w:rsidTr="00DC402F">
        <w:tc>
          <w:tcPr>
            <w:tcW w:w="8222" w:type="dxa"/>
            <w:tcBorders>
              <w:top w:val="single" w:sz="2" w:space="0" w:color="000000"/>
              <w:left w:val="single" w:sz="2" w:space="0" w:color="000000"/>
              <w:bottom w:val="single" w:sz="2" w:space="0" w:color="000000"/>
              <w:right w:val="single" w:sz="2" w:space="0" w:color="000000"/>
            </w:tcBorders>
          </w:tcPr>
          <w:p w:rsidR="00306B94" w:rsidRDefault="00306B94" w:rsidP="00DC402F">
            <w:r>
              <w:rPr>
                <w:b/>
                <w:bCs/>
                <w:sz w:val="28"/>
                <w:szCs w:val="28"/>
              </w:rPr>
              <w:t>Grønne afgifter</w:t>
            </w:r>
          </w:p>
          <w:p w:rsidR="00306B94" w:rsidRDefault="00306B94" w:rsidP="00DC402F">
            <w:r>
              <w:t>Omstilling til en mere miljø- og klimavenlig produktion sker ikke af sig selv, men må understøttes af grønne afgifter, som gør det dyrere at belaste miljøet, og som gør vedvarende energi og miljørigtig adfærd relativt billigere. Ved at øremærke indtægterne fra de grønne afgifter og bruge dem på miljørigtig udvikling og investeringer i bl.a. vedvarende energi kan man fordoble afgifternes miljømæssige virkning – og dermed genetablere deres popularitet.</w:t>
            </w:r>
          </w:p>
          <w:p w:rsidR="00306B94" w:rsidRDefault="00306B94" w:rsidP="00DC402F">
            <w:r>
              <w:t>Siden 1999 har de grønne afgifter udgjort en stadig faldende andel af skatteindtægterne. De indbringer nu ca. 3,7 pct. at BNP mod 5,0 pct. for 15 år siden.</w:t>
            </w:r>
            <w:r>
              <w:rPr>
                <w:rStyle w:val="Fodnotehenvisning"/>
              </w:rPr>
              <w:footnoteReference w:id="9"/>
            </w:r>
            <w:r>
              <w:t xml:space="preserve"> Blandt de oplagte mål for grønne afgifter er fx dieselolie, flybilletter, tung lastbiltrafik og pesticider.</w:t>
            </w:r>
          </w:p>
          <w:p w:rsidR="00306B94" w:rsidRDefault="00306B94" w:rsidP="00DC402F">
            <w:pPr>
              <w:rPr>
                <w:sz w:val="28"/>
                <w:szCs w:val="28"/>
              </w:rPr>
            </w:pPr>
            <w:r>
              <w:t>Afgifterne må af hensyn til trængsel og forurening navnlig i byerne suppleres med en form for mængdemæssig regulering af biltrafikken. Bilkøer er miljøbelastning til ingen nytte, spild af ressourcer og af bogstavelig talt millioner af timer</w:t>
            </w:r>
            <w:r>
              <w:rPr>
                <w:rStyle w:val="Fodnotehenvisning"/>
              </w:rPr>
              <w:footnoteReference w:id="10"/>
            </w:r>
            <w:r>
              <w:t xml:space="preserve"> (Trængselskommissionen og DI). Provenuet fra en eller form for betaling for vejbenyttelse bør naturligvis føres tilbage som forbedring af den kollektive transport, evt. i form af reducerede billetpriser  </w:t>
            </w:r>
          </w:p>
        </w:tc>
      </w:tr>
    </w:tbl>
    <w:p w:rsidR="00306B94" w:rsidRDefault="00306B94" w:rsidP="00306B94">
      <w:pPr>
        <w:rPr>
          <w:sz w:val="28"/>
          <w:szCs w:val="28"/>
        </w:rPr>
      </w:pPr>
    </w:p>
    <w:p w:rsidR="00306B94" w:rsidRDefault="00306B94" w:rsidP="00306B94">
      <w:pPr>
        <w:rPr>
          <w:b/>
          <w:bCs/>
          <w:sz w:val="28"/>
          <w:szCs w:val="28"/>
        </w:rPr>
      </w:pPr>
    </w:p>
    <w:p w:rsidR="00306B94" w:rsidRDefault="00306B94" w:rsidP="00306B94">
      <w:pPr>
        <w:rPr>
          <w:b/>
          <w:bCs/>
          <w:sz w:val="28"/>
          <w:szCs w:val="28"/>
        </w:rPr>
      </w:pPr>
      <w:r>
        <w:rPr>
          <w:b/>
          <w:bCs/>
          <w:sz w:val="28"/>
          <w:szCs w:val="28"/>
        </w:rPr>
        <w:t>Regulering og beskatning af den finansielle sektor (navnlig bankerne)</w:t>
      </w:r>
    </w:p>
    <w:p w:rsidR="00306B94" w:rsidRDefault="00306B94" w:rsidP="00306B94">
      <w:pPr>
        <w:rPr>
          <w:b/>
          <w:bCs/>
          <w:sz w:val="28"/>
          <w:szCs w:val="28"/>
        </w:rPr>
      </w:pPr>
    </w:p>
    <w:p w:rsidR="00306B94" w:rsidRPr="00B071A8" w:rsidRDefault="00306B94" w:rsidP="00306B94">
      <w:pPr>
        <w:widowControl w:val="0"/>
        <w:numPr>
          <w:ilvl w:val="0"/>
          <w:numId w:val="4"/>
        </w:numPr>
        <w:suppressAutoHyphens/>
        <w:rPr>
          <w:sz w:val="26"/>
          <w:szCs w:val="26"/>
        </w:rPr>
      </w:pPr>
      <w:r>
        <w:rPr>
          <w:sz w:val="26"/>
          <w:szCs w:val="26"/>
        </w:rPr>
        <w:t>Tilslutning til den europæiske f</w:t>
      </w:r>
      <w:r w:rsidRPr="00B071A8">
        <w:rPr>
          <w:sz w:val="26"/>
          <w:szCs w:val="26"/>
        </w:rPr>
        <w:t>inansiel</w:t>
      </w:r>
      <w:r>
        <w:rPr>
          <w:sz w:val="26"/>
          <w:szCs w:val="26"/>
        </w:rPr>
        <w:t>le</w:t>
      </w:r>
      <w:r w:rsidRPr="00B071A8">
        <w:rPr>
          <w:sz w:val="26"/>
          <w:szCs w:val="26"/>
        </w:rPr>
        <w:t xml:space="preserve"> transaktionsskat </w:t>
      </w:r>
      <w:r>
        <w:rPr>
          <w:sz w:val="26"/>
          <w:szCs w:val="26"/>
        </w:rPr>
        <w:t>som er ved at blive etableret mellem 11 EU-lande</w:t>
      </w:r>
    </w:p>
    <w:p w:rsidR="00306B94" w:rsidRPr="00B071A8" w:rsidRDefault="00306B94" w:rsidP="00306B94">
      <w:pPr>
        <w:widowControl w:val="0"/>
        <w:numPr>
          <w:ilvl w:val="0"/>
          <w:numId w:val="4"/>
        </w:numPr>
        <w:suppressAutoHyphens/>
        <w:rPr>
          <w:sz w:val="26"/>
          <w:szCs w:val="26"/>
        </w:rPr>
      </w:pPr>
      <w:r>
        <w:rPr>
          <w:sz w:val="26"/>
          <w:szCs w:val="26"/>
        </w:rPr>
        <w:t xml:space="preserve">Modarbejdelse af </w:t>
      </w:r>
      <w:r w:rsidRPr="00B071A8">
        <w:rPr>
          <w:sz w:val="26"/>
          <w:szCs w:val="26"/>
        </w:rPr>
        <w:t xml:space="preserve">skattely gennem obligatorisk indberetning af alle finansielle transaktioner </w:t>
      </w:r>
      <w:r>
        <w:rPr>
          <w:sz w:val="26"/>
          <w:szCs w:val="26"/>
        </w:rPr>
        <w:t xml:space="preserve">ind og ud af landet på mere end </w:t>
      </w:r>
      <w:r w:rsidRPr="00B071A8">
        <w:rPr>
          <w:sz w:val="26"/>
          <w:szCs w:val="26"/>
        </w:rPr>
        <w:t>100.000</w:t>
      </w:r>
      <w:r>
        <w:rPr>
          <w:sz w:val="26"/>
          <w:szCs w:val="26"/>
        </w:rPr>
        <w:t xml:space="preserve"> kr.</w:t>
      </w:r>
    </w:p>
    <w:p w:rsidR="00306B94" w:rsidRDefault="00306B94" w:rsidP="00306B94">
      <w:pPr>
        <w:widowControl w:val="0"/>
        <w:numPr>
          <w:ilvl w:val="0"/>
          <w:numId w:val="4"/>
        </w:numPr>
        <w:suppressAutoHyphens/>
        <w:rPr>
          <w:sz w:val="26"/>
          <w:szCs w:val="26"/>
        </w:rPr>
      </w:pPr>
      <w:r w:rsidRPr="00B071A8">
        <w:rPr>
          <w:sz w:val="26"/>
          <w:szCs w:val="26"/>
        </w:rPr>
        <w:t>Ekstra selskabsskat for finansielle institutioner</w:t>
      </w:r>
    </w:p>
    <w:p w:rsidR="00306B94" w:rsidRPr="00B071A8" w:rsidRDefault="00306B94" w:rsidP="00306B94">
      <w:pPr>
        <w:widowControl w:val="0"/>
        <w:numPr>
          <w:ilvl w:val="0"/>
          <w:numId w:val="4"/>
        </w:numPr>
        <w:suppressAutoHyphens/>
        <w:rPr>
          <w:sz w:val="26"/>
          <w:szCs w:val="26"/>
        </w:rPr>
      </w:pPr>
      <w:r>
        <w:rPr>
          <w:sz w:val="26"/>
          <w:szCs w:val="26"/>
        </w:rPr>
        <w:t xml:space="preserve">Loft over </w:t>
      </w:r>
      <w:proofErr w:type="spellStart"/>
      <w:r>
        <w:rPr>
          <w:sz w:val="26"/>
          <w:szCs w:val="26"/>
        </w:rPr>
        <w:t>løn-</w:t>
      </w:r>
      <w:proofErr w:type="spellEnd"/>
      <w:r>
        <w:rPr>
          <w:sz w:val="26"/>
          <w:szCs w:val="26"/>
        </w:rPr>
        <w:t xml:space="preserve"> og bonusniveauets højde</w:t>
      </w:r>
    </w:p>
    <w:p w:rsidR="00306B94" w:rsidRPr="0014565A" w:rsidRDefault="00306B94" w:rsidP="00306B94">
      <w:pPr>
        <w:widowControl w:val="0"/>
        <w:numPr>
          <w:ilvl w:val="0"/>
          <w:numId w:val="4"/>
        </w:numPr>
        <w:suppressAutoHyphens/>
        <w:rPr>
          <w:sz w:val="26"/>
          <w:szCs w:val="26"/>
        </w:rPr>
      </w:pPr>
      <w:r w:rsidRPr="00276A82">
        <w:rPr>
          <w:sz w:val="26"/>
          <w:szCs w:val="26"/>
        </w:rPr>
        <w:t>Opsplitning af finansielle ’supermarkeder’ mellem stramt regulerede forretningsbanker (med statslig indskydergaranti) og øvrige finansielle institutioner (ingen statslig garanti; men mindre stram reguleret).</w:t>
      </w:r>
    </w:p>
    <w:p w:rsidR="00306B94" w:rsidRPr="0014565A" w:rsidRDefault="00306B94" w:rsidP="00306B94">
      <w:pPr>
        <w:widowControl w:val="0"/>
        <w:numPr>
          <w:ilvl w:val="0"/>
          <w:numId w:val="4"/>
        </w:numPr>
        <w:suppressAutoHyphens/>
        <w:rPr>
          <w:sz w:val="26"/>
          <w:szCs w:val="26"/>
        </w:rPr>
      </w:pPr>
      <w:r w:rsidRPr="00276A82">
        <w:rPr>
          <w:sz w:val="26"/>
          <w:szCs w:val="26"/>
        </w:rPr>
        <w:t>For forretningsbankerne skal det gælde, at de betjener husholdninger og erhvervsvirksomheder (</w:t>
      </w:r>
      <w:r>
        <w:rPr>
          <w:sz w:val="26"/>
          <w:szCs w:val="26"/>
        </w:rPr>
        <w:t xml:space="preserve">men </w:t>
      </w:r>
      <w:r w:rsidRPr="00276A82">
        <w:rPr>
          <w:sz w:val="26"/>
          <w:szCs w:val="26"/>
        </w:rPr>
        <w:t>i</w:t>
      </w:r>
      <w:r>
        <w:rPr>
          <w:sz w:val="26"/>
          <w:szCs w:val="26"/>
        </w:rPr>
        <w:t>kke</w:t>
      </w:r>
      <w:r w:rsidRPr="00276A82">
        <w:rPr>
          <w:sz w:val="26"/>
          <w:szCs w:val="26"/>
        </w:rPr>
        <w:t xml:space="preserve"> finansielle virksomheder, hverken udlån eller indlån). Forretningsbankernes bank er Danmark Nationalbank, som sikrer, at banker med et indlånsunderskud holdes under ekstra opsyn og - ligesom i Sverige </w:t>
      </w:r>
      <w:r>
        <w:rPr>
          <w:sz w:val="26"/>
          <w:szCs w:val="26"/>
        </w:rPr>
        <w:t>– og evt. betaler en overrente ved dækning af et indlånsunderskud</w:t>
      </w:r>
      <w:r w:rsidRPr="00276A82">
        <w:rPr>
          <w:sz w:val="26"/>
          <w:szCs w:val="26"/>
        </w:rPr>
        <w:t>.</w:t>
      </w:r>
    </w:p>
    <w:p w:rsidR="00306B94" w:rsidRPr="00276A82" w:rsidRDefault="00306B94" w:rsidP="00306B94">
      <w:pPr>
        <w:widowControl w:val="0"/>
        <w:numPr>
          <w:ilvl w:val="0"/>
          <w:numId w:val="4"/>
        </w:numPr>
        <w:suppressAutoHyphens/>
        <w:rPr>
          <w:sz w:val="26"/>
          <w:szCs w:val="26"/>
        </w:rPr>
      </w:pPr>
      <w:r w:rsidRPr="00276A82">
        <w:rPr>
          <w:sz w:val="26"/>
          <w:szCs w:val="26"/>
        </w:rPr>
        <w:t>Vedr. pensionskasserne vil det som nævnt være oplagt at fremme aktive investeringer i omstilling til bæredygtig produktion ved at reducere skatten af afkastet af sådanne inv</w:t>
      </w:r>
      <w:r>
        <w:rPr>
          <w:sz w:val="26"/>
          <w:szCs w:val="26"/>
        </w:rPr>
        <w:t>e</w:t>
      </w:r>
      <w:r w:rsidRPr="00276A82">
        <w:rPr>
          <w:sz w:val="26"/>
          <w:szCs w:val="26"/>
        </w:rPr>
        <w:t xml:space="preserve">steringer og til gengæld øge beskatningen af afkast på passive (dvs. finansielle) investeringer generelt - evt. også på alle investeringer uden for EU. </w:t>
      </w:r>
    </w:p>
    <w:p w:rsidR="00306B94" w:rsidRPr="00276A82" w:rsidRDefault="00306B94" w:rsidP="00306B94">
      <w:pPr>
        <w:widowControl w:val="0"/>
        <w:numPr>
          <w:ilvl w:val="0"/>
          <w:numId w:val="4"/>
        </w:numPr>
        <w:suppressAutoHyphens/>
        <w:rPr>
          <w:sz w:val="26"/>
          <w:szCs w:val="26"/>
        </w:rPr>
      </w:pPr>
      <w:r w:rsidRPr="00276A82">
        <w:rPr>
          <w:sz w:val="26"/>
          <w:szCs w:val="26"/>
        </w:rPr>
        <w:t>Etablering af et statsligt finansieringsselskab for socialt og geografisk belastede områder af landet. Lånene gives på markedsvilkår, men med reduceret krav om sikkerhedsstillelse.</w:t>
      </w:r>
    </w:p>
    <w:p w:rsidR="00306B94" w:rsidRPr="00B071A8" w:rsidRDefault="00306B94" w:rsidP="00306B94">
      <w:pPr>
        <w:rPr>
          <w:sz w:val="26"/>
          <w:szCs w:val="26"/>
        </w:rPr>
      </w:pPr>
    </w:p>
    <w:p w:rsidR="00306B94" w:rsidRDefault="00306B94" w:rsidP="00306B94">
      <w:pPr>
        <w:rPr>
          <w:sz w:val="28"/>
          <w:szCs w:val="28"/>
        </w:rPr>
      </w:pPr>
    </w:p>
    <w:p w:rsidR="00306B94" w:rsidRDefault="00306B94" w:rsidP="00306B94">
      <w:pPr>
        <w:rPr>
          <w:b/>
          <w:bCs/>
          <w:sz w:val="28"/>
          <w:szCs w:val="28"/>
        </w:rPr>
      </w:pPr>
      <w:r>
        <w:rPr>
          <w:b/>
          <w:bCs/>
          <w:sz w:val="28"/>
          <w:szCs w:val="28"/>
        </w:rPr>
        <w:t>Herigennem vil der kunne skabes et bedre, mere sammenhængende og tryggere Danmark for alle!</w:t>
      </w:r>
    </w:p>
    <w:p w:rsidR="00306B94" w:rsidRDefault="00306B94" w:rsidP="00306B94">
      <w:pPr>
        <w:rPr>
          <w:b/>
          <w:bCs/>
          <w:sz w:val="28"/>
          <w:szCs w:val="28"/>
        </w:rPr>
      </w:pPr>
    </w:p>
    <w:p w:rsidR="00306B94" w:rsidRPr="009526AB" w:rsidRDefault="00306B94" w:rsidP="00306B94">
      <w:pPr>
        <w:jc w:val="center"/>
        <w:rPr>
          <w:b/>
          <w:sz w:val="28"/>
          <w:szCs w:val="28"/>
        </w:rPr>
      </w:pPr>
      <w:r w:rsidRPr="009526AB">
        <w:rPr>
          <w:b/>
          <w:sz w:val="28"/>
          <w:szCs w:val="28"/>
        </w:rPr>
        <w:t xml:space="preserve">En anden og bedre verden er mulig </w:t>
      </w:r>
    </w:p>
    <w:p w:rsidR="00306B94" w:rsidRDefault="00306B94" w:rsidP="00306B94">
      <w:pPr>
        <w:rPr>
          <w:sz w:val="26"/>
          <w:szCs w:val="26"/>
        </w:rPr>
      </w:pPr>
    </w:p>
    <w:p w:rsidR="00306B94" w:rsidRDefault="00306B94" w:rsidP="00306B94">
      <w:pPr>
        <w:rPr>
          <w:sz w:val="26"/>
          <w:szCs w:val="26"/>
        </w:rPr>
      </w:pPr>
      <w:r>
        <w:rPr>
          <w:sz w:val="26"/>
          <w:szCs w:val="26"/>
        </w:rPr>
        <w:t xml:space="preserve">Liberalisterne hylder det, de kalder, det ”frie” marked. Men hvori består egentlig denne frihed? Friheden består i, at </w:t>
      </w:r>
      <w:proofErr w:type="spellStart"/>
      <w:r>
        <w:rPr>
          <w:sz w:val="26"/>
          <w:szCs w:val="26"/>
        </w:rPr>
        <w:t>kapitalejerne</w:t>
      </w:r>
      <w:proofErr w:type="spellEnd"/>
      <w:r>
        <w:rPr>
          <w:sz w:val="26"/>
          <w:szCs w:val="26"/>
        </w:rPr>
        <w:t xml:space="preserve"> frit kan disponere deres kapital – uanset hvilke konsekvenser, det måtte få, for mennesker, samfund og miljø. I det frie marked er friheden det samme som hensynsløshed. </w:t>
      </w:r>
    </w:p>
    <w:p w:rsidR="00306B94" w:rsidRDefault="00306B94" w:rsidP="00306B94">
      <w:pPr>
        <w:rPr>
          <w:sz w:val="26"/>
          <w:szCs w:val="26"/>
        </w:rPr>
      </w:pPr>
    </w:p>
    <w:p w:rsidR="00306B94" w:rsidRDefault="00306B94" w:rsidP="00306B94">
      <w:pPr>
        <w:rPr>
          <w:sz w:val="26"/>
          <w:szCs w:val="26"/>
        </w:rPr>
      </w:pPr>
      <w:r>
        <w:rPr>
          <w:sz w:val="26"/>
          <w:szCs w:val="26"/>
        </w:rPr>
        <w:t>Vi tror ikke på en verden af konkurrencestater, der konkurrerer hinanden ned i den sociale afgrund, hvor tekstilproduktionen i Bangladesh er et skræmmende eksempel. Historien viser, at det ikke er konkurrence mellem stater, der skaber fred, men samarbejde, demokrati og solidaritet. De to verdenskrige blev udkæmpet mellem nationer, der befandt sig i en voldsom konkurrence med hinanden.</w:t>
      </w:r>
    </w:p>
    <w:p w:rsidR="00306B94" w:rsidRDefault="00306B94" w:rsidP="00306B94">
      <w:pPr>
        <w:rPr>
          <w:sz w:val="26"/>
          <w:szCs w:val="26"/>
        </w:rPr>
      </w:pPr>
    </w:p>
    <w:p w:rsidR="00306B94" w:rsidRDefault="00306B94" w:rsidP="00306B94">
      <w:pPr>
        <w:rPr>
          <w:sz w:val="26"/>
          <w:szCs w:val="26"/>
        </w:rPr>
      </w:pPr>
      <w:r>
        <w:rPr>
          <w:sz w:val="26"/>
          <w:szCs w:val="26"/>
        </w:rPr>
        <w:t>I stedet for et system af konkurrencestater ønsker vi en verden med mere sociale lighed, arbejde til alle, der ønsker det, en god velfærd, stærke fællesskaber og global solidaritet.</w:t>
      </w:r>
    </w:p>
    <w:p w:rsidR="00306B94" w:rsidRDefault="00306B94" w:rsidP="00306B94">
      <w:pPr>
        <w:rPr>
          <w:sz w:val="26"/>
          <w:szCs w:val="26"/>
        </w:rPr>
      </w:pPr>
      <w:r>
        <w:rPr>
          <w:sz w:val="26"/>
          <w:szCs w:val="26"/>
        </w:rPr>
        <w:t xml:space="preserve">I dag flytter produktionen derhen, hvor den på grund af miserable løn og arbejdsforhold er billig. Som alternativ hertil bør progressive regeringer – gerne på tværs af verdensdele - udvikle et samarbejde, der skaber betingelser for de vilkår, hvorunder varerne bliver produceret. Betingelser, der skal opfyldes, for at varerne kan få adgang til vort marked. Varerne skal være produceret under gode </w:t>
      </w:r>
      <w:proofErr w:type="spellStart"/>
      <w:r>
        <w:rPr>
          <w:sz w:val="26"/>
          <w:szCs w:val="26"/>
        </w:rPr>
        <w:t>løn-</w:t>
      </w:r>
      <w:proofErr w:type="spellEnd"/>
      <w:r>
        <w:rPr>
          <w:sz w:val="26"/>
          <w:szCs w:val="26"/>
        </w:rPr>
        <w:t xml:space="preserve"> og arbejdsforhold, med sociale rettigheder, frie fagforeninger, og overskuddet fra produktionen skal også bidrage til at udvikle velfærd. </w:t>
      </w:r>
    </w:p>
    <w:p w:rsidR="00306B94" w:rsidRDefault="00306B94" w:rsidP="00306B94">
      <w:pPr>
        <w:rPr>
          <w:sz w:val="26"/>
          <w:szCs w:val="26"/>
        </w:rPr>
      </w:pPr>
    </w:p>
    <w:p w:rsidR="00306B94" w:rsidRDefault="00306B94" w:rsidP="00306B94">
      <w:pPr>
        <w:rPr>
          <w:sz w:val="26"/>
          <w:szCs w:val="26"/>
        </w:rPr>
      </w:pPr>
      <w:r>
        <w:rPr>
          <w:sz w:val="26"/>
          <w:szCs w:val="26"/>
        </w:rPr>
        <w:t xml:space="preserve">I stedet for de krav om nedskæringer og forringelser, som EU og Verdensbanken i dag praktiserer som betingelse for økonomisk støtte, skal fattige lande have massiv økonomisk støtte – en </w:t>
      </w:r>
      <w:proofErr w:type="spellStart"/>
      <w:r>
        <w:rPr>
          <w:sz w:val="26"/>
          <w:szCs w:val="26"/>
        </w:rPr>
        <w:t>marshallhjælp</w:t>
      </w:r>
      <w:proofErr w:type="spellEnd"/>
      <w:r>
        <w:rPr>
          <w:sz w:val="26"/>
          <w:szCs w:val="26"/>
        </w:rPr>
        <w:t xml:space="preserve"> – til at omstille deres produktion, så den i stigende grad foregår på et miljømæssigt og socialt bæredygtigt grundlag. </w:t>
      </w:r>
    </w:p>
    <w:p w:rsidR="00306B94" w:rsidRDefault="00306B94" w:rsidP="00306B94">
      <w:pPr>
        <w:rPr>
          <w:sz w:val="26"/>
          <w:szCs w:val="26"/>
        </w:rPr>
      </w:pPr>
      <w:r>
        <w:rPr>
          <w:sz w:val="26"/>
          <w:szCs w:val="26"/>
        </w:rPr>
        <w:t xml:space="preserve">Krav til vilkårene for produktionen og støtte til at forbedre vilkårene vil give dem, der i dag er ansvarlige for, at der produceres under miserable forhold, incitamenter til i stedet at producere under stadig mere bæredygtige omstændigheder. </w:t>
      </w:r>
    </w:p>
    <w:p w:rsidR="00306B94" w:rsidRDefault="00306B94" w:rsidP="00306B94">
      <w:pPr>
        <w:rPr>
          <w:sz w:val="26"/>
          <w:szCs w:val="26"/>
        </w:rPr>
      </w:pPr>
      <w:r>
        <w:rPr>
          <w:sz w:val="26"/>
          <w:szCs w:val="26"/>
        </w:rPr>
        <w:t xml:space="preserve">Det ville medføre, at det bliver bedre løn og arbejdsforhold samt velfærd, der bliver globaliseret, hvor det i dag er forringelser, der bliver globaliseret. </w:t>
      </w:r>
    </w:p>
    <w:p w:rsidR="006D05E1" w:rsidRDefault="00306B94"/>
    <w:p w:rsidR="00306B94" w:rsidRDefault="00306B94">
      <w:r>
        <w:t>(indsat af Arne Hansen):</w:t>
      </w:r>
    </w:p>
    <w:p w:rsidR="00306B94" w:rsidRDefault="00306B94" w:rsidP="00306B94">
      <w:pPr>
        <w:jc w:val="center"/>
        <w:rPr>
          <w:rFonts w:ascii="Arial" w:eastAsia="Times New Roman" w:hAnsi="Arial" w:cs="Arial"/>
          <w:color w:val="000000"/>
          <w:sz w:val="24"/>
          <w:szCs w:val="24"/>
          <w:lang w:eastAsia="da-DK"/>
        </w:rPr>
      </w:pPr>
      <w:r w:rsidRPr="004A3708">
        <w:rPr>
          <w:rFonts w:ascii="Arial" w:eastAsia="Times New Roman" w:hAnsi="Arial" w:cs="Arial"/>
          <w:color w:val="000000"/>
          <w:sz w:val="24"/>
          <w:szCs w:val="24"/>
          <w:lang w:eastAsia="da-DK"/>
        </w:rPr>
        <w:t>Netværk for Velfærd og Demokrati</w:t>
      </w:r>
    </w:p>
    <w:p w:rsidR="00306B94" w:rsidRDefault="00306B94" w:rsidP="00306B94">
      <w:pPr>
        <w:jc w:val="center"/>
        <w:rPr>
          <w:b/>
          <w:sz w:val="48"/>
          <w:szCs w:val="48"/>
        </w:rPr>
      </w:pPr>
      <w:hyperlink r:id="rId9" w:history="1">
        <w:r w:rsidRPr="00AA4D5F">
          <w:rPr>
            <w:rStyle w:val="Hyperlink"/>
            <w:rFonts w:ascii="Arial" w:eastAsia="Times New Roman" w:hAnsi="Arial" w:cs="Arial"/>
            <w:sz w:val="24"/>
            <w:szCs w:val="24"/>
            <w:lang w:eastAsia="da-DK"/>
          </w:rPr>
          <w:t>https://www.facebook.com/groups/16</w:t>
        </w:r>
        <w:r w:rsidRPr="00AA4D5F">
          <w:rPr>
            <w:rStyle w:val="Hyperlink"/>
            <w:rFonts w:ascii="Arial" w:eastAsia="Times New Roman" w:hAnsi="Arial" w:cs="Arial"/>
            <w:sz w:val="24"/>
            <w:szCs w:val="24"/>
            <w:lang w:eastAsia="da-DK"/>
          </w:rPr>
          <w:t>9</w:t>
        </w:r>
        <w:r w:rsidRPr="00AA4D5F">
          <w:rPr>
            <w:rStyle w:val="Hyperlink"/>
            <w:rFonts w:ascii="Arial" w:eastAsia="Times New Roman" w:hAnsi="Arial" w:cs="Arial"/>
            <w:sz w:val="24"/>
            <w:szCs w:val="24"/>
            <w:lang w:eastAsia="da-DK"/>
          </w:rPr>
          <w:t>340026443126/</w:t>
        </w:r>
      </w:hyperlink>
      <w:r>
        <w:rPr>
          <w:rFonts w:ascii="Arial" w:eastAsia="Times New Roman" w:hAnsi="Arial" w:cs="Arial"/>
          <w:color w:val="000000"/>
          <w:sz w:val="24"/>
          <w:szCs w:val="24"/>
          <w:lang w:eastAsia="da-DK"/>
        </w:rPr>
        <w:t xml:space="preserve"> </w:t>
      </w:r>
    </w:p>
    <w:p w:rsidR="00306B94" w:rsidRDefault="00306B94" w:rsidP="00306B94">
      <w:pPr>
        <w:spacing w:line="312" w:lineRule="auto"/>
        <w:rPr>
          <w:rFonts w:ascii="Arial" w:hAnsi="Arial" w:cs="Arial"/>
          <w:color w:val="222222"/>
          <w:sz w:val="24"/>
          <w:szCs w:val="24"/>
          <w:shd w:val="clear" w:color="auto" w:fill="FFFFFF"/>
        </w:rPr>
      </w:pPr>
    </w:p>
    <w:p w:rsidR="00306B94" w:rsidRPr="004A3708" w:rsidRDefault="00306B94" w:rsidP="00306B94">
      <w:pPr>
        <w:spacing w:line="312" w:lineRule="auto"/>
        <w:rPr>
          <w:rFonts w:ascii="Arial" w:hAnsi="Arial" w:cs="Arial"/>
          <w:color w:val="222222"/>
          <w:sz w:val="24"/>
          <w:szCs w:val="24"/>
          <w:shd w:val="clear" w:color="auto" w:fill="FFFFFF"/>
        </w:rPr>
      </w:pPr>
      <w:r w:rsidRPr="004A3708">
        <w:rPr>
          <w:rFonts w:ascii="Arial" w:hAnsi="Arial" w:cs="Arial"/>
          <w:color w:val="222222"/>
          <w:sz w:val="24"/>
          <w:szCs w:val="24"/>
          <w:shd w:val="clear" w:color="auto" w:fill="FFFFFF"/>
        </w:rPr>
        <w:t xml:space="preserve">Netværket kan kontaktes på mail: </w:t>
      </w:r>
      <w:hyperlink r:id="rId10" w:history="1">
        <w:r w:rsidRPr="004A3708">
          <w:rPr>
            <w:rStyle w:val="Hyperlink"/>
            <w:rFonts w:ascii="Arial" w:hAnsi="Arial" w:cs="Arial"/>
            <w:sz w:val="24"/>
            <w:szCs w:val="24"/>
            <w:shd w:val="clear" w:color="auto" w:fill="FFFFFF"/>
          </w:rPr>
          <w:t>nvd.sol.dk</w:t>
        </w:r>
      </w:hyperlink>
    </w:p>
    <w:p w:rsidR="00306B94" w:rsidRPr="004A3708" w:rsidRDefault="00306B94" w:rsidP="00306B94">
      <w:pPr>
        <w:spacing w:line="312" w:lineRule="auto"/>
        <w:jc w:val="both"/>
        <w:rPr>
          <w:rFonts w:ascii="Arial" w:eastAsia="Times New Roman" w:hAnsi="Arial" w:cs="Arial"/>
          <w:color w:val="000000"/>
          <w:sz w:val="24"/>
          <w:szCs w:val="24"/>
          <w:lang w:eastAsia="da-DK"/>
        </w:rPr>
      </w:pPr>
    </w:p>
    <w:p w:rsidR="00306B94" w:rsidRPr="004A3708" w:rsidRDefault="00306B94" w:rsidP="00306B94">
      <w:pPr>
        <w:spacing w:line="312" w:lineRule="auto"/>
        <w:jc w:val="both"/>
        <w:rPr>
          <w:rFonts w:ascii="Arial" w:eastAsia="Times New Roman" w:hAnsi="Arial" w:cs="Arial"/>
          <w:color w:val="000000"/>
          <w:sz w:val="24"/>
          <w:szCs w:val="24"/>
          <w:lang w:eastAsia="da-DK"/>
        </w:rPr>
      </w:pPr>
      <w:r w:rsidRPr="004A3708">
        <w:rPr>
          <w:rFonts w:ascii="Arial" w:eastAsia="Times New Roman" w:hAnsi="Arial" w:cs="Arial"/>
          <w:color w:val="000000"/>
          <w:sz w:val="24"/>
          <w:szCs w:val="24"/>
          <w:lang w:eastAsia="da-DK"/>
        </w:rPr>
        <w:t xml:space="preserve">Netværk for Velfærd og Demokrati, arbejdsgruppen </w:t>
      </w:r>
    </w:p>
    <w:p w:rsidR="00306B94" w:rsidRDefault="00306B94" w:rsidP="00306B94">
      <w:pPr>
        <w:spacing w:line="312" w:lineRule="auto"/>
        <w:jc w:val="both"/>
        <w:rPr>
          <w:rFonts w:ascii="Arial" w:eastAsia="Times New Roman" w:hAnsi="Arial" w:cs="Arial"/>
          <w:color w:val="000000"/>
          <w:sz w:val="24"/>
          <w:szCs w:val="24"/>
          <w:lang w:eastAsia="da-DK"/>
        </w:rPr>
      </w:pPr>
    </w:p>
    <w:p w:rsidR="00306B94" w:rsidRPr="004A3708" w:rsidRDefault="00306B94" w:rsidP="00306B94">
      <w:pPr>
        <w:spacing w:line="312" w:lineRule="auto"/>
        <w:jc w:val="both"/>
        <w:rPr>
          <w:rFonts w:ascii="Arial" w:eastAsia="Times New Roman" w:hAnsi="Arial" w:cs="Arial"/>
          <w:color w:val="000000"/>
          <w:sz w:val="24"/>
          <w:szCs w:val="24"/>
          <w:lang w:eastAsia="da-DK"/>
        </w:rPr>
      </w:pPr>
      <w:r w:rsidRPr="004A3708">
        <w:rPr>
          <w:rFonts w:ascii="Arial" w:eastAsia="Times New Roman" w:hAnsi="Arial" w:cs="Arial"/>
          <w:color w:val="000000"/>
          <w:sz w:val="24"/>
          <w:szCs w:val="24"/>
          <w:lang w:eastAsia="da-DK"/>
        </w:rPr>
        <w:t>Hardy Hansen, Fhv. forbundsformand for SID, tidl. MF for Socialdemokratiet</w:t>
      </w:r>
    </w:p>
    <w:p w:rsidR="00306B94" w:rsidRPr="004A3708" w:rsidRDefault="00306B94" w:rsidP="00306B94">
      <w:pPr>
        <w:spacing w:line="312" w:lineRule="auto"/>
        <w:jc w:val="both"/>
        <w:rPr>
          <w:rFonts w:ascii="Arial" w:eastAsia="Times New Roman" w:hAnsi="Arial" w:cs="Arial"/>
          <w:color w:val="000000"/>
          <w:sz w:val="24"/>
          <w:szCs w:val="24"/>
          <w:lang w:eastAsia="da-DK"/>
        </w:rPr>
      </w:pPr>
      <w:proofErr w:type="spellStart"/>
      <w:r w:rsidRPr="004A3708">
        <w:rPr>
          <w:rFonts w:ascii="Arial" w:eastAsia="Times New Roman" w:hAnsi="Arial" w:cs="Arial"/>
          <w:color w:val="000000"/>
          <w:sz w:val="24"/>
          <w:szCs w:val="24"/>
          <w:lang w:eastAsia="da-DK"/>
        </w:rPr>
        <w:lastRenderedPageBreak/>
        <w:t>Villo</w:t>
      </w:r>
      <w:proofErr w:type="spellEnd"/>
      <w:r w:rsidRPr="004A3708">
        <w:rPr>
          <w:rFonts w:ascii="Arial" w:eastAsia="Times New Roman" w:hAnsi="Arial" w:cs="Arial"/>
          <w:color w:val="000000"/>
          <w:sz w:val="24"/>
          <w:szCs w:val="24"/>
          <w:lang w:eastAsia="da-DK"/>
        </w:rPr>
        <w:t xml:space="preserve"> Sigurdsson, fhv. borgmester, medlem af SF</w:t>
      </w:r>
    </w:p>
    <w:p w:rsidR="00306B94" w:rsidRPr="004A3708" w:rsidRDefault="00306B94" w:rsidP="00306B94">
      <w:pPr>
        <w:spacing w:line="312" w:lineRule="auto"/>
        <w:jc w:val="both"/>
        <w:rPr>
          <w:rFonts w:ascii="Arial" w:eastAsia="Times New Roman" w:hAnsi="Arial" w:cs="Arial"/>
          <w:color w:val="000000"/>
          <w:sz w:val="24"/>
          <w:szCs w:val="24"/>
          <w:lang w:eastAsia="da-DK"/>
        </w:rPr>
      </w:pPr>
      <w:r w:rsidRPr="004A3708">
        <w:rPr>
          <w:rFonts w:ascii="Arial" w:eastAsia="Times New Roman" w:hAnsi="Arial" w:cs="Arial"/>
          <w:color w:val="000000"/>
          <w:sz w:val="24"/>
          <w:szCs w:val="24"/>
          <w:lang w:eastAsia="da-DK"/>
        </w:rPr>
        <w:t>Kim Davidsen, arkitekt, medlem af Socialdemokratiet</w:t>
      </w:r>
    </w:p>
    <w:p w:rsidR="00306B94" w:rsidRPr="004A3708" w:rsidRDefault="00306B94" w:rsidP="00306B94">
      <w:pPr>
        <w:spacing w:line="312" w:lineRule="auto"/>
        <w:jc w:val="both"/>
        <w:rPr>
          <w:rFonts w:ascii="Arial" w:eastAsia="Times New Roman" w:hAnsi="Arial" w:cs="Arial"/>
          <w:color w:val="000000"/>
          <w:sz w:val="24"/>
          <w:szCs w:val="24"/>
          <w:lang w:eastAsia="da-DK"/>
        </w:rPr>
      </w:pPr>
      <w:r w:rsidRPr="004A3708">
        <w:rPr>
          <w:rFonts w:ascii="Arial" w:eastAsia="Times New Roman" w:hAnsi="Arial" w:cs="Arial"/>
          <w:color w:val="000000"/>
          <w:sz w:val="24"/>
          <w:szCs w:val="24"/>
          <w:lang w:eastAsia="da-DK"/>
        </w:rPr>
        <w:t>Klaus Mygind, medlem af BR for SF</w:t>
      </w:r>
    </w:p>
    <w:p w:rsidR="00306B94" w:rsidRDefault="00306B94" w:rsidP="00306B94">
      <w:pPr>
        <w:spacing w:line="312" w:lineRule="auto"/>
        <w:jc w:val="both"/>
        <w:rPr>
          <w:rFonts w:ascii="Arial" w:eastAsia="Times New Roman" w:hAnsi="Arial" w:cs="Arial"/>
          <w:color w:val="000000"/>
          <w:sz w:val="24"/>
          <w:szCs w:val="24"/>
          <w:lang w:eastAsia="da-DK"/>
        </w:rPr>
      </w:pPr>
      <w:r w:rsidRPr="004A3708">
        <w:rPr>
          <w:rFonts w:ascii="Arial" w:eastAsia="Times New Roman" w:hAnsi="Arial" w:cs="Arial"/>
          <w:color w:val="000000"/>
          <w:sz w:val="24"/>
          <w:szCs w:val="24"/>
          <w:lang w:eastAsia="da-DK"/>
        </w:rPr>
        <w:t>Kurt Hansen, Fhv. MF for VS, medlem af Enhedslisten</w:t>
      </w:r>
    </w:p>
    <w:p w:rsidR="00306B94" w:rsidRPr="00954089" w:rsidRDefault="00306B94" w:rsidP="00306B94">
      <w:pPr>
        <w:spacing w:line="312" w:lineRule="auto"/>
        <w:jc w:val="both"/>
        <w:rPr>
          <w:rFonts w:ascii="Arial" w:eastAsia="Times New Roman" w:hAnsi="Arial" w:cs="Arial"/>
          <w:color w:val="000000"/>
          <w:sz w:val="24"/>
          <w:szCs w:val="24"/>
          <w:lang w:eastAsia="da-DK"/>
        </w:rPr>
      </w:pPr>
      <w:r w:rsidRPr="00954089">
        <w:rPr>
          <w:rFonts w:ascii="Arial" w:eastAsia="Times New Roman" w:hAnsi="Arial" w:cs="Arial"/>
          <w:color w:val="000000"/>
          <w:sz w:val="24"/>
          <w:szCs w:val="24"/>
          <w:lang w:eastAsia="da-DK"/>
        </w:rPr>
        <w:t>Kjeld Aakj</w:t>
      </w:r>
      <w:r>
        <w:rPr>
          <w:rFonts w:ascii="Arial" w:eastAsia="Times New Roman" w:hAnsi="Arial" w:cs="Arial"/>
          <w:color w:val="000000"/>
          <w:sz w:val="24"/>
          <w:szCs w:val="24"/>
          <w:lang w:eastAsia="da-DK"/>
        </w:rPr>
        <w:t>ær, medlem af Socialdemokratiet</w:t>
      </w:r>
    </w:p>
    <w:p w:rsidR="00306B94" w:rsidRPr="00954089" w:rsidRDefault="00306B94" w:rsidP="00306B94">
      <w:pPr>
        <w:spacing w:line="312" w:lineRule="auto"/>
        <w:jc w:val="both"/>
        <w:rPr>
          <w:rFonts w:ascii="Arial" w:eastAsia="Times New Roman" w:hAnsi="Arial" w:cs="Arial"/>
          <w:color w:val="000000"/>
          <w:sz w:val="24"/>
          <w:szCs w:val="24"/>
          <w:lang w:eastAsia="da-DK"/>
        </w:rPr>
      </w:pPr>
      <w:r w:rsidRPr="00954089">
        <w:rPr>
          <w:rFonts w:ascii="Arial" w:eastAsia="Times New Roman" w:hAnsi="Arial" w:cs="Arial"/>
          <w:color w:val="000000"/>
          <w:sz w:val="24"/>
          <w:szCs w:val="24"/>
          <w:lang w:eastAsia="da-DK"/>
        </w:rPr>
        <w:t>Niels I Meyer, professor emeritus</w:t>
      </w:r>
    </w:p>
    <w:p w:rsidR="00306B94" w:rsidRPr="00954089" w:rsidRDefault="00306B94" w:rsidP="00306B94">
      <w:pPr>
        <w:spacing w:line="312" w:lineRule="auto"/>
        <w:jc w:val="both"/>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L</w:t>
      </w:r>
      <w:r w:rsidRPr="004A3708">
        <w:rPr>
          <w:rFonts w:ascii="Arial" w:eastAsia="Times New Roman" w:hAnsi="Arial" w:cs="Arial"/>
          <w:color w:val="000000"/>
          <w:sz w:val="24"/>
          <w:szCs w:val="24"/>
          <w:lang w:eastAsia="da-DK"/>
        </w:rPr>
        <w:t>ars Hutters, læge, fhv. fællestillidsmand, medlem af Enhedslisten</w:t>
      </w:r>
    </w:p>
    <w:p w:rsidR="00306B94" w:rsidRPr="004A3708" w:rsidRDefault="00306B94" w:rsidP="00306B94">
      <w:pPr>
        <w:spacing w:line="312" w:lineRule="auto"/>
        <w:jc w:val="both"/>
        <w:rPr>
          <w:rFonts w:ascii="Arial" w:eastAsia="Times New Roman" w:hAnsi="Arial" w:cs="Arial"/>
          <w:color w:val="000000"/>
          <w:sz w:val="24"/>
          <w:szCs w:val="24"/>
          <w:lang w:eastAsia="da-DK"/>
        </w:rPr>
      </w:pPr>
      <w:r w:rsidRPr="004A3708">
        <w:rPr>
          <w:rFonts w:ascii="Arial" w:eastAsia="Times New Roman" w:hAnsi="Arial" w:cs="Arial"/>
          <w:color w:val="000000"/>
          <w:sz w:val="24"/>
          <w:szCs w:val="24"/>
          <w:lang w:eastAsia="da-DK"/>
        </w:rPr>
        <w:t xml:space="preserve">Ole </w:t>
      </w:r>
      <w:proofErr w:type="spellStart"/>
      <w:r w:rsidRPr="004A3708">
        <w:rPr>
          <w:rFonts w:ascii="Arial" w:eastAsia="Times New Roman" w:hAnsi="Arial" w:cs="Arial"/>
          <w:color w:val="000000"/>
          <w:sz w:val="24"/>
          <w:szCs w:val="24"/>
          <w:lang w:eastAsia="da-DK"/>
        </w:rPr>
        <w:t>Thorbek</w:t>
      </w:r>
      <w:proofErr w:type="spellEnd"/>
      <w:r w:rsidRPr="004A3708">
        <w:rPr>
          <w:rFonts w:ascii="Arial" w:eastAsia="Times New Roman" w:hAnsi="Arial" w:cs="Arial"/>
          <w:color w:val="000000"/>
          <w:sz w:val="24"/>
          <w:szCs w:val="24"/>
          <w:lang w:eastAsia="da-DK"/>
        </w:rPr>
        <w:t>, økonom</w:t>
      </w:r>
    </w:p>
    <w:p w:rsidR="00306B94" w:rsidRDefault="00306B94" w:rsidP="00306B94">
      <w:pPr>
        <w:spacing w:line="312" w:lineRule="auto"/>
        <w:jc w:val="both"/>
        <w:rPr>
          <w:rFonts w:ascii="Arial" w:eastAsia="Times New Roman" w:hAnsi="Arial" w:cs="Arial"/>
          <w:color w:val="000000"/>
          <w:sz w:val="24"/>
          <w:szCs w:val="24"/>
          <w:lang w:eastAsia="da-DK"/>
        </w:rPr>
      </w:pPr>
      <w:r w:rsidRPr="004A3708">
        <w:rPr>
          <w:rFonts w:ascii="Arial" w:eastAsia="Times New Roman" w:hAnsi="Arial" w:cs="Arial"/>
          <w:color w:val="000000"/>
          <w:sz w:val="24"/>
          <w:szCs w:val="24"/>
          <w:lang w:eastAsia="da-DK"/>
        </w:rPr>
        <w:t>Pernille Frahm, medl. af kommunalbestyrelsen på Frederiksberg, SF</w:t>
      </w:r>
    </w:p>
    <w:p w:rsidR="00306B94" w:rsidRPr="004A3708" w:rsidRDefault="00306B94" w:rsidP="00306B94">
      <w:pPr>
        <w:spacing w:line="312" w:lineRule="auto"/>
        <w:jc w:val="both"/>
        <w:rPr>
          <w:rFonts w:ascii="Arial" w:eastAsia="Times New Roman" w:hAnsi="Arial" w:cs="Arial"/>
          <w:color w:val="000000"/>
          <w:sz w:val="24"/>
          <w:szCs w:val="24"/>
          <w:lang w:eastAsia="da-DK"/>
        </w:rPr>
      </w:pPr>
      <w:r w:rsidRPr="00954089">
        <w:rPr>
          <w:rFonts w:ascii="Arial" w:eastAsia="Times New Roman" w:hAnsi="Arial" w:cs="Arial"/>
          <w:color w:val="000000"/>
          <w:sz w:val="24"/>
          <w:szCs w:val="24"/>
          <w:lang w:eastAsia="da-DK"/>
        </w:rPr>
        <w:t>Leif Bork Hansen, Bedsteforældre for Asyl</w:t>
      </w:r>
    </w:p>
    <w:p w:rsidR="00306B94" w:rsidRDefault="00306B94"/>
    <w:sectPr w:rsidR="00306B94" w:rsidSect="0091497E">
      <w:pgSz w:w="11906" w:h="16838"/>
      <w:pgMar w:top="1440" w:right="1077" w:bottom="1440"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B94" w:rsidRDefault="00306B94" w:rsidP="00306B94">
      <w:r>
        <w:separator/>
      </w:r>
    </w:p>
  </w:endnote>
  <w:endnote w:type="continuationSeparator" w:id="0">
    <w:p w:rsidR="00306B94" w:rsidRDefault="00306B94" w:rsidP="00306B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B94" w:rsidRDefault="00306B94" w:rsidP="00306B94">
      <w:r>
        <w:separator/>
      </w:r>
    </w:p>
  </w:footnote>
  <w:footnote w:type="continuationSeparator" w:id="0">
    <w:p w:rsidR="00306B94" w:rsidRDefault="00306B94" w:rsidP="00306B94">
      <w:r>
        <w:continuationSeparator/>
      </w:r>
    </w:p>
  </w:footnote>
  <w:footnote w:id="1">
    <w:p w:rsidR="00306B94" w:rsidRPr="00744F42" w:rsidRDefault="00306B94" w:rsidP="00306B94">
      <w:pPr>
        <w:rPr>
          <w:lang w:val="en-GB"/>
        </w:rPr>
      </w:pPr>
      <w:r>
        <w:rPr>
          <w:rStyle w:val="Fodnotehenvisning"/>
        </w:rPr>
        <w:footnoteRef/>
      </w:r>
      <w:r w:rsidRPr="00B071A8">
        <w:rPr>
          <w:sz w:val="26"/>
          <w:szCs w:val="26"/>
          <w:lang w:val="en-GB"/>
        </w:rPr>
        <w:t xml:space="preserve"> </w:t>
      </w:r>
      <w:hyperlink r:id="rId1" w:history="1">
        <w:r w:rsidRPr="00A25AB3">
          <w:rPr>
            <w:rStyle w:val="Hyperlink"/>
            <w:rFonts w:cs="Mangal"/>
            <w:color w:val="000000" w:themeColor="text1"/>
            <w:lang w:val="en-GB"/>
          </w:rPr>
          <w:t>Richard Wilkinson &amp; Kate Pickett</w:t>
        </w:r>
      </w:hyperlink>
      <w:r w:rsidRPr="00A25AB3">
        <w:rPr>
          <w:rStyle w:val="Hyperlink"/>
          <w:rFonts w:cs="Mangal"/>
          <w:color w:val="000000" w:themeColor="text1"/>
          <w:lang w:val="en-GB"/>
        </w:rPr>
        <w:t xml:space="preserve">: </w:t>
      </w:r>
      <w:proofErr w:type="spellStart"/>
      <w:r w:rsidRPr="00A25AB3">
        <w:rPr>
          <w:rStyle w:val="Hyperlink"/>
          <w:rFonts w:cs="Mangal"/>
          <w:i/>
          <w:color w:val="000000" w:themeColor="text1"/>
          <w:lang w:val="en-GB"/>
        </w:rPr>
        <w:t>Lighed</w:t>
      </w:r>
      <w:proofErr w:type="spellEnd"/>
      <w:r w:rsidRPr="00803BBF">
        <w:rPr>
          <w:rStyle w:val="Hyperlink"/>
          <w:rFonts w:cs="Mangal"/>
          <w:lang w:val="en-GB"/>
        </w:rPr>
        <w:t>,</w:t>
      </w:r>
      <w:r w:rsidRPr="00803BBF">
        <w:rPr>
          <w:lang w:val="en-GB"/>
        </w:rPr>
        <w:t xml:space="preserve"> </w:t>
      </w:r>
      <w:proofErr w:type="spellStart"/>
      <w:r w:rsidRPr="00803BBF">
        <w:rPr>
          <w:lang w:val="en-GB"/>
        </w:rPr>
        <w:t>Informations</w:t>
      </w:r>
      <w:proofErr w:type="spellEnd"/>
      <w:r w:rsidRPr="00803BBF">
        <w:rPr>
          <w:lang w:val="en-GB"/>
        </w:rPr>
        <w:t xml:space="preserve"> </w:t>
      </w:r>
      <w:proofErr w:type="spellStart"/>
      <w:r w:rsidRPr="00803BBF">
        <w:rPr>
          <w:lang w:val="en-GB"/>
        </w:rPr>
        <w:t>Forlag</w:t>
      </w:r>
      <w:proofErr w:type="spellEnd"/>
      <w:r w:rsidRPr="00803BBF">
        <w:rPr>
          <w:lang w:val="en-GB"/>
        </w:rPr>
        <w:t xml:space="preserve">, 2012 </w:t>
      </w:r>
      <w:proofErr w:type="spellStart"/>
      <w:r w:rsidRPr="00803BBF">
        <w:rPr>
          <w:lang w:val="en-GB"/>
        </w:rPr>
        <w:t>og</w:t>
      </w:r>
      <w:proofErr w:type="spellEnd"/>
      <w:r w:rsidRPr="00803BBF">
        <w:rPr>
          <w:lang w:val="en-GB"/>
        </w:rPr>
        <w:t xml:space="preserve"> Journal for a Progressive Economy: </w:t>
      </w:r>
      <w:r w:rsidRPr="00803BBF">
        <w:rPr>
          <w:i/>
          <w:iCs/>
          <w:lang w:val="en-GB"/>
        </w:rPr>
        <w:t xml:space="preserve">Inequality the Challenge of the Century, </w:t>
      </w:r>
      <w:r w:rsidRPr="00803BBF">
        <w:rPr>
          <w:iCs/>
          <w:lang w:val="en-GB"/>
        </w:rPr>
        <w:t>marts</w:t>
      </w:r>
      <w:r w:rsidRPr="00803BBF">
        <w:rPr>
          <w:i/>
          <w:iCs/>
          <w:lang w:val="en-GB"/>
        </w:rPr>
        <w:t xml:space="preserve"> </w:t>
      </w:r>
      <w:r w:rsidRPr="00803BBF">
        <w:rPr>
          <w:lang w:val="en-GB"/>
        </w:rPr>
        <w:t>2014</w:t>
      </w:r>
    </w:p>
  </w:footnote>
  <w:footnote w:id="2">
    <w:p w:rsidR="00306B94" w:rsidRPr="00EC7E06" w:rsidRDefault="00306B94" w:rsidP="00306B94">
      <w:pPr>
        <w:rPr>
          <w:sz w:val="45"/>
          <w:szCs w:val="45"/>
          <w:lang w:val="en-US" w:eastAsia="da-DK"/>
        </w:rPr>
      </w:pPr>
      <w:r w:rsidRPr="00744F42">
        <w:rPr>
          <w:rStyle w:val="Fodnotehenvisning"/>
        </w:rPr>
        <w:footnoteRef/>
      </w:r>
      <w:r w:rsidRPr="00EC7E06">
        <w:rPr>
          <w:rStyle w:val="Fodnotehenvisning"/>
          <w:lang w:val="en-US"/>
        </w:rPr>
        <w:t xml:space="preserve"> </w:t>
      </w:r>
      <w:r>
        <w:rPr>
          <w:lang w:val="en-GB"/>
        </w:rPr>
        <w:t xml:space="preserve">OECD: </w:t>
      </w:r>
      <w:r w:rsidRPr="00780093">
        <w:rPr>
          <w:i/>
          <w:lang w:val="en-GB"/>
        </w:rPr>
        <w:t xml:space="preserve"> All on Board – </w:t>
      </w:r>
      <w:r w:rsidRPr="00EC7E06">
        <w:rPr>
          <w:i/>
          <w:lang w:val="en-GB"/>
        </w:rPr>
        <w:t>M</w:t>
      </w:r>
      <w:r w:rsidRPr="00780093">
        <w:rPr>
          <w:i/>
          <w:lang w:val="en-GB"/>
        </w:rPr>
        <w:t>aking Inclusive Growth Happen,</w:t>
      </w:r>
      <w:r>
        <w:rPr>
          <w:lang w:val="en-GB"/>
        </w:rPr>
        <w:t xml:space="preserve"> 2014 </w:t>
      </w:r>
      <w:r w:rsidRPr="00EC7E06">
        <w:rPr>
          <w:sz w:val="45"/>
          <w:szCs w:val="45"/>
          <w:lang w:val="en-US" w:eastAsia="da-DK"/>
        </w:rPr>
        <w:t xml:space="preserve"> </w:t>
      </w:r>
    </w:p>
  </w:footnote>
  <w:footnote w:id="3">
    <w:p w:rsidR="00306B94" w:rsidRPr="00803BBF" w:rsidRDefault="00306B94" w:rsidP="00306B94">
      <w:pPr>
        <w:pStyle w:val="Fodnotetekst"/>
        <w:rPr>
          <w:lang w:val="en-US"/>
        </w:rPr>
      </w:pPr>
      <w:r>
        <w:rPr>
          <w:rStyle w:val="Fodnotehenvisning"/>
        </w:rPr>
        <w:footnoteRef/>
      </w:r>
      <w:r w:rsidRPr="00803BBF">
        <w:rPr>
          <w:lang w:val="en-US"/>
        </w:rPr>
        <w:t xml:space="preserve"> </w:t>
      </w:r>
      <w:r w:rsidRPr="00803BBF">
        <w:rPr>
          <w:sz w:val="22"/>
          <w:szCs w:val="22"/>
          <w:lang w:val="en-US"/>
        </w:rPr>
        <w:t xml:space="preserve">Richard Layard: </w:t>
      </w:r>
      <w:r w:rsidRPr="00803BBF">
        <w:rPr>
          <w:i/>
          <w:iCs/>
          <w:sz w:val="22"/>
          <w:szCs w:val="22"/>
          <w:lang w:val="en-US"/>
        </w:rPr>
        <w:t>Happiness</w:t>
      </w:r>
      <w:r w:rsidRPr="00803BBF">
        <w:rPr>
          <w:sz w:val="22"/>
          <w:szCs w:val="22"/>
          <w:lang w:val="en-US"/>
        </w:rPr>
        <w:t>, Penguin Book, 2005</w:t>
      </w:r>
    </w:p>
  </w:footnote>
  <w:footnote w:id="4">
    <w:p w:rsidR="00306B94" w:rsidRPr="00452F80" w:rsidRDefault="00306B94" w:rsidP="00306B94">
      <w:pPr>
        <w:pStyle w:val="Fodnotetekst"/>
        <w:rPr>
          <w:sz w:val="22"/>
          <w:szCs w:val="22"/>
        </w:rPr>
      </w:pPr>
      <w:r>
        <w:rPr>
          <w:rStyle w:val="Fodnotehenvisning"/>
        </w:rPr>
        <w:footnoteRef/>
      </w:r>
      <w:r>
        <w:t xml:space="preserve"> </w:t>
      </w:r>
      <w:hyperlink r:id="rId2" w:history="1">
        <w:r w:rsidRPr="00452F80">
          <w:rPr>
            <w:sz w:val="22"/>
            <w:szCs w:val="22"/>
          </w:rPr>
          <w:t xml:space="preserve">Skatteministeriet: Svar på </w:t>
        </w:r>
        <w:proofErr w:type="spellStart"/>
        <w:r w:rsidRPr="00452F80">
          <w:rPr>
            <w:sz w:val="22"/>
            <w:szCs w:val="22"/>
          </w:rPr>
          <w:t>spm</w:t>
        </w:r>
        <w:proofErr w:type="spellEnd"/>
        <w:r w:rsidRPr="00452F80">
          <w:rPr>
            <w:sz w:val="22"/>
            <w:szCs w:val="22"/>
          </w:rPr>
          <w:t xml:space="preserve">. 242 fra Skatteudvalget d 16. januar 2012 </w:t>
        </w:r>
      </w:hyperlink>
      <w:r w:rsidRPr="00452F80">
        <w:rPr>
          <w:sz w:val="22"/>
          <w:szCs w:val="22"/>
        </w:rPr>
        <w:t xml:space="preserve"> </w:t>
      </w:r>
    </w:p>
  </w:footnote>
  <w:footnote w:id="5">
    <w:p w:rsidR="00306B94" w:rsidRPr="00FF0A80" w:rsidRDefault="00306B94" w:rsidP="00306B94">
      <w:pPr>
        <w:pStyle w:val="Fodnotetekst"/>
        <w:rPr>
          <w:sz w:val="22"/>
          <w:szCs w:val="22"/>
        </w:rPr>
      </w:pPr>
      <w:r>
        <w:rPr>
          <w:rStyle w:val="Fodnotehenvisning"/>
        </w:rPr>
        <w:footnoteRef/>
      </w:r>
      <w:r>
        <w:t xml:space="preserve"> </w:t>
      </w:r>
      <w:r w:rsidRPr="00FF0A80">
        <w:rPr>
          <w:sz w:val="22"/>
          <w:szCs w:val="22"/>
        </w:rPr>
        <w:t>Thomas</w:t>
      </w:r>
      <w:r w:rsidRPr="00B071A8">
        <w:rPr>
          <w:sz w:val="26"/>
          <w:szCs w:val="26"/>
        </w:rPr>
        <w:t xml:space="preserve"> </w:t>
      </w:r>
      <w:hyperlink r:id="rId3" w:history="1">
        <w:r w:rsidRPr="00FF0A80">
          <w:rPr>
            <w:sz w:val="22"/>
            <w:szCs w:val="22"/>
          </w:rPr>
          <w:t xml:space="preserve">Boje og Anders </w:t>
        </w:r>
        <w:proofErr w:type="spellStart"/>
        <w:r w:rsidRPr="00FF0A80">
          <w:rPr>
            <w:sz w:val="22"/>
            <w:szCs w:val="22"/>
          </w:rPr>
          <w:t>Ejrnæs</w:t>
        </w:r>
        <w:proofErr w:type="spellEnd"/>
        <w:r w:rsidRPr="00FF0A80">
          <w:rPr>
            <w:sz w:val="22"/>
            <w:szCs w:val="22"/>
          </w:rPr>
          <w:t>, Uligevægt, 2013</w:t>
        </w:r>
      </w:hyperlink>
    </w:p>
  </w:footnote>
  <w:footnote w:id="6">
    <w:p w:rsidR="00306B94" w:rsidRPr="0013284C" w:rsidRDefault="00306B94" w:rsidP="00306B94">
      <w:pPr>
        <w:pStyle w:val="Fodnotetekst"/>
        <w:rPr>
          <w:sz w:val="22"/>
          <w:szCs w:val="22"/>
        </w:rPr>
      </w:pPr>
      <w:r>
        <w:rPr>
          <w:rStyle w:val="Fodnotehenvisning"/>
        </w:rPr>
        <w:footnoteRef/>
      </w:r>
      <w:r>
        <w:t xml:space="preserve"> </w:t>
      </w:r>
      <w:proofErr w:type="spellStart"/>
      <w:r w:rsidRPr="0013284C">
        <w:rPr>
          <w:sz w:val="22"/>
          <w:szCs w:val="22"/>
        </w:rPr>
        <w:t>KRAKA-rapport</w:t>
      </w:r>
      <w:proofErr w:type="spellEnd"/>
      <w:r w:rsidRPr="0013284C">
        <w:rPr>
          <w:sz w:val="22"/>
          <w:szCs w:val="22"/>
        </w:rPr>
        <w:t>, marts 2014</w:t>
      </w:r>
    </w:p>
  </w:footnote>
  <w:footnote w:id="7">
    <w:p w:rsidR="00306B94" w:rsidRPr="0013284C" w:rsidRDefault="00306B94" w:rsidP="00306B94">
      <w:pPr>
        <w:pStyle w:val="Fodnotetekst"/>
        <w:rPr>
          <w:sz w:val="22"/>
          <w:szCs w:val="22"/>
        </w:rPr>
      </w:pPr>
      <w:r w:rsidRPr="0013284C">
        <w:rPr>
          <w:rStyle w:val="Fodnotehenvisning"/>
          <w:sz w:val="22"/>
          <w:szCs w:val="22"/>
        </w:rPr>
        <w:footnoteRef/>
      </w:r>
      <w:r w:rsidRPr="0013284C">
        <w:rPr>
          <w:sz w:val="22"/>
          <w:szCs w:val="22"/>
        </w:rPr>
        <w:t xml:space="preserve"> </w:t>
      </w:r>
      <w:proofErr w:type="spellStart"/>
      <w:r w:rsidRPr="0013284C">
        <w:rPr>
          <w:sz w:val="22"/>
          <w:szCs w:val="22"/>
        </w:rPr>
        <w:t>AE-rådet</w:t>
      </w:r>
      <w:proofErr w:type="spellEnd"/>
      <w:r w:rsidRPr="0013284C">
        <w:rPr>
          <w:sz w:val="22"/>
          <w:szCs w:val="22"/>
        </w:rPr>
        <w:t>, her efter CASA Social Årsrapport 2013</w:t>
      </w:r>
    </w:p>
  </w:footnote>
  <w:footnote w:id="8">
    <w:p w:rsidR="00306B94" w:rsidRDefault="00306B94" w:rsidP="00306B94">
      <w:pPr>
        <w:pStyle w:val="Fodnotetekst"/>
      </w:pPr>
      <w:r w:rsidRPr="0013284C">
        <w:rPr>
          <w:rStyle w:val="Fodnotehenvisning"/>
          <w:sz w:val="22"/>
          <w:szCs w:val="22"/>
        </w:rPr>
        <w:footnoteRef/>
      </w:r>
      <w:r w:rsidRPr="0013284C">
        <w:rPr>
          <w:sz w:val="22"/>
          <w:szCs w:val="22"/>
        </w:rPr>
        <w:t xml:space="preserve"> </w:t>
      </w:r>
      <w:r>
        <w:rPr>
          <w:sz w:val="22"/>
          <w:szCs w:val="22"/>
        </w:rPr>
        <w:t xml:space="preserve">Klimakommissionen: </w:t>
      </w:r>
      <w:r w:rsidRPr="00103527">
        <w:rPr>
          <w:i/>
          <w:sz w:val="22"/>
          <w:szCs w:val="22"/>
        </w:rPr>
        <w:t>Grøn Energi – Vejen mod et dansk energisystem uden fossile brændsler,</w:t>
      </w:r>
      <w:r w:rsidRPr="0013284C">
        <w:rPr>
          <w:sz w:val="22"/>
          <w:szCs w:val="22"/>
        </w:rPr>
        <w:t xml:space="preserve"> 2010</w:t>
      </w:r>
    </w:p>
  </w:footnote>
  <w:footnote w:id="9">
    <w:p w:rsidR="00306B94" w:rsidRPr="00FF0A80" w:rsidRDefault="00306B94" w:rsidP="00306B94">
      <w:r>
        <w:rPr>
          <w:rStyle w:val="Fodnotehenvisning"/>
        </w:rPr>
        <w:footnoteRef/>
      </w:r>
      <w:r>
        <w:t xml:space="preserve"> </w:t>
      </w:r>
      <w:r w:rsidRPr="00FF0A80">
        <w:t xml:space="preserve"> </w:t>
      </w:r>
      <w:hyperlink r:id="rId4" w:history="1">
        <w:r w:rsidRPr="00FF0A80">
          <w:rPr>
            <w:rStyle w:val="Hyperlink"/>
            <w:rFonts w:cs="Mangal"/>
          </w:rPr>
          <w:t>www.skm.dk</w:t>
        </w:r>
      </w:hyperlink>
      <w:r w:rsidRPr="00FF0A80">
        <w:t xml:space="preserve"> den 6. maj 2014</w:t>
      </w:r>
    </w:p>
    <w:p w:rsidR="00306B94" w:rsidRDefault="00306B94" w:rsidP="00306B94">
      <w:pPr>
        <w:pStyle w:val="Fodnotetekst"/>
      </w:pPr>
    </w:p>
  </w:footnote>
  <w:footnote w:id="10">
    <w:p w:rsidR="00306B94" w:rsidRDefault="00306B94" w:rsidP="00306B94">
      <w:pPr>
        <w:pStyle w:val="Fodnotetekst"/>
      </w:pPr>
      <w:r>
        <w:rPr>
          <w:rStyle w:val="Fodnotehenvisning"/>
        </w:rPr>
        <w:footnoteRef/>
      </w:r>
      <w:r>
        <w:t xml:space="preserve"> </w:t>
      </w:r>
      <w:r w:rsidRPr="00FF0A80">
        <w:rPr>
          <w:sz w:val="22"/>
          <w:szCs w:val="24"/>
        </w:rPr>
        <w:t>Jf. Trængselskommissionen og Dansk Industri</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C3E0F3CE"/>
    <w:lvl w:ilvl="0">
      <w:start w:val="5"/>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
    <w:nsid w:val="00000003"/>
    <w:multiLevelType w:val="multilevel"/>
    <w:tmpl w:val="53C408E4"/>
    <w:lvl w:ilvl="0">
      <w:start w:val="12"/>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
    <w:nsid w:val="00000005"/>
    <w:multiLevelType w:val="multilevel"/>
    <w:tmpl w:val="124E7BE6"/>
    <w:lvl w:ilvl="0">
      <w:start w:val="15"/>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130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06B94"/>
    <w:rsid w:val="0003237E"/>
    <w:rsid w:val="002D0182"/>
    <w:rsid w:val="00306B94"/>
    <w:rsid w:val="004105B9"/>
    <w:rsid w:val="007105A6"/>
    <w:rsid w:val="00873E30"/>
    <w:rsid w:val="008E3C6F"/>
    <w:rsid w:val="0091497E"/>
    <w:rsid w:val="00D1025A"/>
    <w:rsid w:val="00E6335F"/>
    <w:rsid w:val="00F47A0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B9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306B94"/>
    <w:rPr>
      <w:color w:val="0000FF"/>
      <w:u w:val="single"/>
    </w:rPr>
  </w:style>
  <w:style w:type="paragraph" w:styleId="Fodnotetekst">
    <w:name w:val="footnote text"/>
    <w:basedOn w:val="Normal"/>
    <w:link w:val="FodnotetekstTegn"/>
    <w:uiPriority w:val="99"/>
    <w:semiHidden/>
    <w:unhideWhenUsed/>
    <w:rsid w:val="00306B94"/>
    <w:pPr>
      <w:widowControl w:val="0"/>
      <w:suppressAutoHyphens/>
    </w:pPr>
    <w:rPr>
      <w:rFonts w:eastAsia="Times New Roman" w:cs="Mangal"/>
      <w:kern w:val="1"/>
      <w:sz w:val="20"/>
      <w:szCs w:val="18"/>
      <w:lang w:eastAsia="hi-IN" w:bidi="hi-IN"/>
    </w:rPr>
  </w:style>
  <w:style w:type="character" w:customStyle="1" w:styleId="FodnotetekstTegn">
    <w:name w:val="Fodnotetekst Tegn"/>
    <w:basedOn w:val="Standardskrifttypeiafsnit"/>
    <w:link w:val="Fodnotetekst"/>
    <w:uiPriority w:val="99"/>
    <w:semiHidden/>
    <w:rsid w:val="00306B94"/>
    <w:rPr>
      <w:rFonts w:eastAsia="Times New Roman" w:cs="Mangal"/>
      <w:kern w:val="1"/>
      <w:sz w:val="20"/>
      <w:szCs w:val="18"/>
      <w:lang w:eastAsia="hi-IN" w:bidi="hi-IN"/>
    </w:rPr>
  </w:style>
  <w:style w:type="character" w:styleId="Fodnotehenvisning">
    <w:name w:val="footnote reference"/>
    <w:basedOn w:val="Standardskrifttypeiafsnit"/>
    <w:uiPriority w:val="99"/>
    <w:semiHidden/>
    <w:unhideWhenUsed/>
    <w:rsid w:val="00306B9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s.dk/sites/ens.dk/files/politik/dansk-klima-energipolitik/klimakommissionen/groen-energi/groen%20energi%20DK%20screen%201sidet%20v2.pdf" TargetMode="External"/><Relationship Id="rId3" Type="http://schemas.openxmlformats.org/officeDocument/2006/relationships/settings" Target="settings.xml"/><Relationship Id="rId7" Type="http://schemas.openxmlformats.org/officeDocument/2006/relationships/hyperlink" Target="http://www.ipcc.ch/report/ar5/wg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file:///G:\Documents\KOMMUNEPROJEKT\M&#248;deindkaldelser" TargetMode="External"/><Relationship Id="rId4" Type="http://schemas.openxmlformats.org/officeDocument/2006/relationships/webSettings" Target="webSettings.xml"/><Relationship Id="rId9" Type="http://schemas.openxmlformats.org/officeDocument/2006/relationships/hyperlink" Target="https://www.facebook.com/groups/169340026443126/"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nfsv.dk/Visning-af-titel.403.0.html?&amp;cHash=ab308f592854e0ba76d9c1a18bd79510&amp;ean=9788776830311" TargetMode="External"/><Relationship Id="rId2" Type="http://schemas.openxmlformats.org/officeDocument/2006/relationships/hyperlink" Target="http://www.ft.dk/samling/20111/almdel/sau/spm/242/svar/855892/1076396.pdf" TargetMode="External"/><Relationship Id="rId1" Type="http://schemas.openxmlformats.org/officeDocument/2006/relationships/hyperlink" Target="http://www.informationsforlag.dk/view_product.php?product=978-87-7514-323-8" TargetMode="External"/><Relationship Id="rId4" Type="http://schemas.openxmlformats.org/officeDocument/2006/relationships/hyperlink" Target="http://www.skm.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2728</Words>
  <Characters>16641</Characters>
  <Application>Microsoft Office Word</Application>
  <DocSecurity>0</DocSecurity>
  <Lines>138</Lines>
  <Paragraphs>38</Paragraphs>
  <ScaleCrop>false</ScaleCrop>
  <Company/>
  <LinksUpToDate>false</LinksUpToDate>
  <CharactersWithSpaces>19331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2016-09-16T16:23:00Z</dcterms:created>
  <dcterms:modified xsi:type="dcterms:W3CDTF">2016-09-16T16:34:00Z</dcterms:modified>
</cp:coreProperties>
</file>